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DA4ED" w14:textId="6D1D16C6" w:rsidR="000E6289" w:rsidRPr="001451F5" w:rsidRDefault="000E6289" w:rsidP="0038263C">
      <w:pPr>
        <w:jc w:val="center"/>
        <w:rPr>
          <w:rFonts w:ascii="Times New Roman" w:hAnsi="Times New Roman" w:cs="Times New Roman"/>
          <w:sz w:val="28"/>
          <w:szCs w:val="28"/>
        </w:rPr>
      </w:pPr>
      <w:r w:rsidRPr="001451F5">
        <w:rPr>
          <w:rFonts w:ascii="Times New Roman" w:hAnsi="Times New Roman" w:cs="Times New Roman"/>
          <w:sz w:val="28"/>
          <w:szCs w:val="28"/>
        </w:rPr>
        <w:t>Mega Financial Holding C</w:t>
      </w:r>
      <w:r w:rsidR="00010D62" w:rsidRPr="001451F5">
        <w:rPr>
          <w:rFonts w:ascii="Times New Roman" w:hAnsi="Times New Roman" w:cs="Times New Roman" w:hint="eastAsia"/>
          <w:sz w:val="28"/>
          <w:szCs w:val="28"/>
        </w:rPr>
        <w:t>o</w:t>
      </w:r>
      <w:r w:rsidR="00010D62" w:rsidRPr="001451F5">
        <w:rPr>
          <w:rFonts w:ascii="Times New Roman" w:hAnsi="Times New Roman" w:cs="Times New Roman"/>
          <w:sz w:val="28"/>
          <w:szCs w:val="28"/>
        </w:rPr>
        <w:t>.,</w:t>
      </w:r>
      <w:r w:rsidRPr="001451F5">
        <w:rPr>
          <w:rFonts w:ascii="Times New Roman" w:hAnsi="Times New Roman" w:cs="Times New Roman"/>
          <w:sz w:val="28"/>
          <w:szCs w:val="28"/>
        </w:rPr>
        <w:t xml:space="preserve"> Ltd.</w:t>
      </w:r>
    </w:p>
    <w:p w14:paraId="52ED9DE7" w14:textId="0A3F7612" w:rsidR="001451F5" w:rsidRDefault="0038263C" w:rsidP="0038263C">
      <w:pPr>
        <w:jc w:val="center"/>
        <w:rPr>
          <w:rFonts w:ascii="Times New Roman" w:hAnsi="Times New Roman" w:cs="Times New Roman"/>
          <w:sz w:val="26"/>
          <w:szCs w:val="26"/>
        </w:rPr>
      </w:pPr>
      <w:r w:rsidRPr="00377AE5">
        <w:rPr>
          <w:rFonts w:ascii="Times New Roman" w:hAnsi="Times New Roman" w:cs="Times New Roman"/>
          <w:sz w:val="26"/>
          <w:szCs w:val="26"/>
        </w:rPr>
        <w:t xml:space="preserve">Guidelines for Treating Customers Fairly Principle and </w:t>
      </w:r>
    </w:p>
    <w:p w14:paraId="2015F6C8" w14:textId="61E6162D" w:rsidR="0038263C" w:rsidRPr="00377AE5" w:rsidRDefault="0038263C" w:rsidP="0038263C">
      <w:pPr>
        <w:jc w:val="center"/>
        <w:rPr>
          <w:rFonts w:ascii="Times New Roman" w:eastAsia="新細明體" w:hAnsi="Times New Roman" w:cs="Times New Roman"/>
          <w:kern w:val="0"/>
          <w:sz w:val="26"/>
          <w:szCs w:val="26"/>
        </w:rPr>
      </w:pPr>
      <w:r w:rsidRPr="00377AE5">
        <w:rPr>
          <w:rFonts w:ascii="Times New Roman" w:hAnsi="Times New Roman" w:cs="Times New Roman"/>
          <w:sz w:val="26"/>
          <w:szCs w:val="26"/>
        </w:rPr>
        <w:t>Financial Consumer Protection</w:t>
      </w:r>
    </w:p>
    <w:p w14:paraId="446BE431" w14:textId="64BCD484" w:rsidR="0038263C" w:rsidRDefault="00DD7E96" w:rsidP="0038263C">
      <w:pPr>
        <w:rPr>
          <w:rFonts w:ascii="Times New Roman" w:eastAsia="新細明體" w:hAnsi="Times New Roman" w:cs="Times New Roman"/>
          <w:kern w:val="0"/>
          <w:sz w:val="20"/>
          <w:szCs w:val="20"/>
        </w:rPr>
      </w:pPr>
      <w:r>
        <w:rPr>
          <w:rFonts w:ascii="Times New Roman" w:eastAsia="新細明體" w:hAnsi="Times New Roman" w:cs="Times New Roman" w:hint="eastAsia"/>
          <w:kern w:val="0"/>
          <w:sz w:val="26"/>
          <w:szCs w:val="26"/>
        </w:rPr>
        <w:t xml:space="preserve">                         </w:t>
      </w:r>
      <w:r>
        <w:rPr>
          <w:rFonts w:ascii="Times New Roman" w:eastAsia="新細明體" w:hAnsi="Times New Roman" w:cs="Times New Roman"/>
          <w:kern w:val="0"/>
          <w:sz w:val="26"/>
          <w:szCs w:val="26"/>
        </w:rPr>
        <w:t xml:space="preserve">         </w:t>
      </w:r>
      <w:r>
        <w:rPr>
          <w:rFonts w:ascii="Times New Roman" w:eastAsia="新細明體" w:hAnsi="Times New Roman" w:cs="Times New Roman" w:hint="eastAsia"/>
          <w:kern w:val="0"/>
          <w:sz w:val="26"/>
          <w:szCs w:val="26"/>
        </w:rPr>
        <w:t xml:space="preserve">  </w:t>
      </w:r>
      <w:r>
        <w:rPr>
          <w:rFonts w:ascii="Times New Roman" w:eastAsia="新細明體" w:hAnsi="Times New Roman" w:cs="Times New Roman"/>
          <w:kern w:val="0"/>
          <w:sz w:val="26"/>
          <w:szCs w:val="26"/>
        </w:rPr>
        <w:t>(</w:t>
      </w:r>
      <w:r w:rsidRPr="00DD7E96">
        <w:rPr>
          <w:rFonts w:ascii="Times New Roman" w:eastAsia="新細明體" w:hAnsi="Times New Roman" w:cs="Times New Roman" w:hint="eastAsia"/>
          <w:kern w:val="0"/>
          <w:sz w:val="20"/>
          <w:szCs w:val="20"/>
        </w:rPr>
        <w:t>Ap</w:t>
      </w:r>
      <w:r w:rsidRPr="00DD7E96">
        <w:rPr>
          <w:rFonts w:ascii="Times New Roman" w:eastAsia="新細明體" w:hAnsi="Times New Roman" w:cs="Times New Roman"/>
          <w:kern w:val="0"/>
          <w:sz w:val="20"/>
          <w:szCs w:val="20"/>
        </w:rPr>
        <w:t>proved by the President on August 16</w:t>
      </w:r>
      <w:proofErr w:type="gramStart"/>
      <w:r w:rsidRPr="00DD7E96">
        <w:rPr>
          <w:rFonts w:ascii="Times New Roman" w:eastAsia="新細明體" w:hAnsi="Times New Roman" w:cs="Times New Roman"/>
          <w:kern w:val="0"/>
          <w:sz w:val="20"/>
          <w:szCs w:val="20"/>
          <w:vertAlign w:val="superscript"/>
        </w:rPr>
        <w:t xml:space="preserve">th </w:t>
      </w:r>
      <w:r w:rsidRPr="00DD7E96">
        <w:rPr>
          <w:rFonts w:ascii="Times New Roman" w:eastAsia="新細明體" w:hAnsi="Times New Roman" w:cs="Times New Roman"/>
          <w:kern w:val="0"/>
          <w:sz w:val="20"/>
          <w:szCs w:val="20"/>
        </w:rPr>
        <w:t>,</w:t>
      </w:r>
      <w:proofErr w:type="gramEnd"/>
      <w:r w:rsidRPr="00DD7E96">
        <w:rPr>
          <w:rFonts w:ascii="Times New Roman" w:eastAsia="新細明體" w:hAnsi="Times New Roman" w:cs="Times New Roman"/>
          <w:kern w:val="0"/>
          <w:sz w:val="20"/>
          <w:szCs w:val="20"/>
        </w:rPr>
        <w:t xml:space="preserve"> 2021</w:t>
      </w:r>
      <w:r>
        <w:rPr>
          <w:rFonts w:ascii="Times New Roman" w:eastAsia="新細明體" w:hAnsi="Times New Roman" w:cs="Times New Roman"/>
          <w:kern w:val="0"/>
          <w:sz w:val="20"/>
          <w:szCs w:val="20"/>
        </w:rPr>
        <w:t>)</w:t>
      </w:r>
    </w:p>
    <w:p w14:paraId="3B31B2AE" w14:textId="2B3F8061" w:rsidR="00FF1C58" w:rsidRPr="00DD7E96" w:rsidRDefault="00FF1C58" w:rsidP="0038263C">
      <w:pPr>
        <w:rPr>
          <w:rFonts w:ascii="Times New Roman" w:eastAsia="新細明體" w:hAnsi="Times New Roman" w:cs="Times New Roman"/>
          <w:kern w:val="0"/>
          <w:sz w:val="20"/>
          <w:szCs w:val="20"/>
        </w:rPr>
      </w:pPr>
      <w:r>
        <w:rPr>
          <w:rFonts w:ascii="Times New Roman" w:eastAsia="新細明體" w:hAnsi="Times New Roman" w:cs="Times New Roman" w:hint="eastAsia"/>
          <w:kern w:val="0"/>
          <w:sz w:val="20"/>
          <w:szCs w:val="20"/>
        </w:rPr>
        <w:t xml:space="preserve"> </w:t>
      </w:r>
      <w:r>
        <w:rPr>
          <w:rFonts w:ascii="Times New Roman" w:eastAsia="新細明體" w:hAnsi="Times New Roman" w:cs="Times New Roman"/>
          <w:kern w:val="0"/>
          <w:sz w:val="20"/>
          <w:szCs w:val="20"/>
        </w:rPr>
        <w:t xml:space="preserve">                                           </w:t>
      </w:r>
      <w:r w:rsidR="00816715">
        <w:rPr>
          <w:rFonts w:ascii="Times New Roman" w:eastAsia="新細明體" w:hAnsi="Times New Roman" w:cs="Times New Roman"/>
          <w:kern w:val="0"/>
          <w:sz w:val="20"/>
          <w:szCs w:val="20"/>
        </w:rPr>
        <w:t xml:space="preserve"> </w:t>
      </w:r>
      <w:r w:rsidRPr="00000353">
        <w:rPr>
          <w:rFonts w:ascii="Times New Roman" w:eastAsia="新細明體" w:hAnsi="Times New Roman" w:cs="Times New Roman"/>
          <w:kern w:val="0"/>
          <w:sz w:val="20"/>
          <w:szCs w:val="20"/>
        </w:rPr>
        <w:t>(Amend</w:t>
      </w:r>
      <w:r w:rsidR="00816715" w:rsidRPr="00000353">
        <w:rPr>
          <w:rFonts w:ascii="Times New Roman" w:eastAsia="新細明體" w:hAnsi="Times New Roman" w:cs="Times New Roman"/>
          <w:kern w:val="0"/>
          <w:sz w:val="20"/>
          <w:szCs w:val="20"/>
        </w:rPr>
        <w:t>ed for the first time</w:t>
      </w:r>
      <w:r w:rsidRPr="00000353">
        <w:rPr>
          <w:rFonts w:ascii="Times New Roman" w:eastAsia="新細明體" w:hAnsi="Times New Roman" w:cs="Times New Roman"/>
          <w:kern w:val="0"/>
          <w:sz w:val="20"/>
          <w:szCs w:val="20"/>
        </w:rPr>
        <w:t xml:space="preserve"> on September 6th, 2022)</w:t>
      </w:r>
    </w:p>
    <w:p w14:paraId="7A1E01E4" w14:textId="46035367" w:rsidR="0038263C" w:rsidRPr="00000353"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w:t>
      </w:r>
      <w:r w:rsidR="00096798" w:rsidRPr="00E22BDE">
        <w:rPr>
          <w:rFonts w:ascii="Times New Roman" w:eastAsia="標楷體" w:hAnsi="Times New Roman" w:cs="Times New Roman"/>
          <w:sz w:val="26"/>
        </w:rPr>
        <w:t>Purpose</w:t>
      </w:r>
      <w:r w:rsidR="00096798" w:rsidRPr="00000353">
        <w:rPr>
          <w:rFonts w:ascii="Times New Roman" w:eastAsia="標楷體" w:hAnsi="Times New Roman" w:cs="Times New Roman"/>
          <w:sz w:val="26"/>
        </w:rPr>
        <w:t xml:space="preserve"> and Basis</w:t>
      </w:r>
      <w:r w:rsidRPr="00000353">
        <w:rPr>
          <w:rFonts w:ascii="Times New Roman" w:hAnsi="Times New Roman" w:cs="Times New Roman"/>
          <w:sz w:val="26"/>
          <w:szCs w:val="26"/>
        </w:rPr>
        <w:t>)</w:t>
      </w:r>
    </w:p>
    <w:p w14:paraId="6C3B7CB7" w14:textId="0A60A173" w:rsidR="0038263C" w:rsidRPr="00377AE5" w:rsidRDefault="00096798" w:rsidP="00657CEE">
      <w:pPr>
        <w:pStyle w:val="a3"/>
        <w:ind w:leftChars="472" w:left="113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The Guidelines were established</w:t>
      </w:r>
      <w:r w:rsidRPr="00000353">
        <w:rPr>
          <w:rFonts w:ascii="Times New Roman" w:eastAsia="標楷體" w:hAnsi="Times New Roman" w:cs="Times New Roman"/>
          <w:sz w:val="26"/>
          <w:u w:val="single"/>
        </w:rPr>
        <w:t xml:space="preserve"> </w:t>
      </w:r>
      <w:r w:rsidRPr="00000353">
        <w:rPr>
          <w:rFonts w:ascii="Times New Roman" w:eastAsia="標楷體" w:hAnsi="Times New Roman" w:cs="Times New Roman"/>
          <w:sz w:val="26"/>
        </w:rPr>
        <w:t>according to the “Principles for Fair Treatment of Customers in the Financial Services Industry” promulgated by the Financial Supervisory Commission (FSC) to create a</w:t>
      </w:r>
      <w:r w:rsidRPr="00E22BDE">
        <w:rPr>
          <w:rFonts w:ascii="Times New Roman" w:eastAsia="標楷體" w:hAnsi="Times New Roman" w:cs="Times New Roman"/>
          <w:sz w:val="26"/>
        </w:rPr>
        <w:t xml:space="preserve"> corporate culture with fair treatment of customers at the core, improve protection of financial consumers, and increase the confidence of financial consumers in the Group, in order to achieve the sustainable development of the Group</w:t>
      </w:r>
      <w:r w:rsidR="0038263C" w:rsidRPr="00377AE5">
        <w:rPr>
          <w:rFonts w:ascii="Times New Roman" w:hAnsi="Times New Roman" w:cs="Times New Roman"/>
          <w:sz w:val="26"/>
          <w:szCs w:val="26"/>
        </w:rPr>
        <w:t>.</w:t>
      </w:r>
    </w:p>
    <w:p w14:paraId="412C601B"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(Responsible Department)</w:t>
      </w:r>
    </w:p>
    <w:p w14:paraId="5E6FCDBD"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The responsible department of the Guidelines is the Business Development Department</w:t>
      </w:r>
    </w:p>
    <w:p w14:paraId="0234B503"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(Applicability)</w:t>
      </w:r>
    </w:p>
    <w:p w14:paraId="3B10F667" w14:textId="6AB8AB1A"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The Guidelines are applicable to the Company's subsidiaries that are financial service providers according to Article 3 of the Financial Consumer Protection Act. Financial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onsumers in the Guidelines refer to financial consumers defined in Article 4 of the same Act.</w:t>
      </w:r>
    </w:p>
    <w:p w14:paraId="14C99DBF" w14:textId="4989014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Subsidiary in the preceding paragraph refers to companies in which the Company directly holds over 50% of shares with voting rights or total capital, or over half of all directors are directly appointed by the Company.</w:t>
      </w:r>
    </w:p>
    <w:p w14:paraId="15B56814"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(Contents of the Treating Customers Fairly Principle)</w:t>
      </w:r>
    </w:p>
    <w:p w14:paraId="6B6689E0"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Contents of the treating customers fairly principle are as follows:</w:t>
      </w:r>
    </w:p>
    <w:p w14:paraId="57C44292"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Good Faith in Signing Contracts</w:t>
      </w:r>
    </w:p>
    <w:p w14:paraId="1F3ABFF8" w14:textId="0E512422"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shall enter into agreements with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onsumers for providing financial products or services based on the principles of fairness, reasonableness, equality, mutual benefit and integrity.</w:t>
      </w:r>
    </w:p>
    <w:p w14:paraId="2BE35A45"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Due Care and Fiduciary Duty</w:t>
      </w:r>
    </w:p>
    <w:p w14:paraId="4C0AE65A" w14:textId="77777777"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exercise the due care and fulfill the fiduciary duty of a prudent manager when providing financial products or services.</w:t>
      </w:r>
    </w:p>
    <w:p w14:paraId="5933EA01"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Advertising and Solicitation Integrity</w:t>
      </w:r>
    </w:p>
    <w:p w14:paraId="37A50400" w14:textId="77777777"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ensure the validity of the contents of advertisements that are published or disseminated for business solicitation or promotions.</w:t>
      </w:r>
    </w:p>
    <w:p w14:paraId="50975375"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lastRenderedPageBreak/>
        <w:t>Principle of Product and Service Suitability</w:t>
      </w:r>
    </w:p>
    <w:p w14:paraId="58699914" w14:textId="3D939582"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shall gain a full understanding of product characteristics and </w:t>
      </w:r>
      <w:r w:rsidR="00737812">
        <w:rPr>
          <w:rFonts w:ascii="Times New Roman" w:hAnsi="Times New Roman" w:cs="Times New Roman"/>
          <w:sz w:val="26"/>
          <w:szCs w:val="26"/>
        </w:rPr>
        <w:t xml:space="preserve">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onsumers to ensure that the product or service is suitable for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w:t>
      </w:r>
    </w:p>
    <w:p w14:paraId="66226B7B"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Information Disclosure</w:t>
      </w:r>
    </w:p>
    <w:p w14:paraId="51823802" w14:textId="38845BEC"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shall explain important contents and fully disclose risks of financial products or services using text or other methods that can be fully understood by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onsumers.</w:t>
      </w:r>
    </w:p>
    <w:p w14:paraId="4D9F9DD3"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Equitable Remuneration and Performance</w:t>
      </w:r>
    </w:p>
    <w:p w14:paraId="7F769246" w14:textId="0DB9EDF3"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The remuneration system for sales personnel may not use the attainment of sales goals as the sole criterion, and must also consider the balance with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onsumers' rights and interests and the risks resulting from financial products or services.</w:t>
      </w:r>
    </w:p>
    <w:p w14:paraId="02D6737B" w14:textId="77777777" w:rsidR="0038263C" w:rsidRPr="00377AE5"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Grievance Mechanism and Protection</w:t>
      </w:r>
    </w:p>
    <w:p w14:paraId="7818E675" w14:textId="77777777" w:rsidR="0038263C" w:rsidRPr="00377AE5" w:rsidRDefault="0038263C" w:rsidP="00657CEE">
      <w:pPr>
        <w:pStyle w:val="a3"/>
        <w:ind w:leftChars="6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A consumer dispute resolution system must be established along with grievance handling procedures and grievance channels.</w:t>
      </w:r>
    </w:p>
    <w:p w14:paraId="6E4E2039" w14:textId="54EEEE60" w:rsidR="0038263C" w:rsidRPr="00A0559F" w:rsidRDefault="0038263C" w:rsidP="00657CEE">
      <w:pPr>
        <w:pStyle w:val="a3"/>
        <w:numPr>
          <w:ilvl w:val="0"/>
          <w:numId w:val="5"/>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Sales Personnel Professionalism</w:t>
      </w:r>
    </w:p>
    <w:p w14:paraId="6D3BC153" w14:textId="57296C30" w:rsidR="00A0559F" w:rsidRDefault="00A0559F" w:rsidP="00A0559F">
      <w:pPr>
        <w:pStyle w:val="a3"/>
        <w:ind w:leftChars="0"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Personnel providing financial products or services must have qualifications required by applicable laws and regulations.</w:t>
      </w:r>
    </w:p>
    <w:p w14:paraId="1269B90A" w14:textId="7BF7A66F" w:rsidR="00A0559F" w:rsidRPr="00000353" w:rsidRDefault="00A0559F" w:rsidP="00657CEE">
      <w:pPr>
        <w:pStyle w:val="a3"/>
        <w:numPr>
          <w:ilvl w:val="0"/>
          <w:numId w:val="5"/>
        </w:numPr>
        <w:ind w:leftChars="472" w:left="161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 xml:space="preserve">Principles for </w:t>
      </w:r>
      <w:r w:rsidR="0091350C" w:rsidRPr="00000353">
        <w:rPr>
          <w:rFonts w:ascii="Times New Roman" w:eastAsia="標楷體" w:hAnsi="Times New Roman" w:cs="Times New Roman"/>
          <w:sz w:val="26"/>
        </w:rPr>
        <w:t xml:space="preserve">Friendly </w:t>
      </w:r>
      <w:r w:rsidR="00430D2D" w:rsidRPr="00000353">
        <w:rPr>
          <w:rFonts w:ascii="Times New Roman" w:eastAsia="標楷體" w:hAnsi="Times New Roman" w:cs="Times New Roman"/>
          <w:sz w:val="26"/>
        </w:rPr>
        <w:t>Services</w:t>
      </w:r>
    </w:p>
    <w:p w14:paraId="2F6E99F4" w14:textId="4EC32608" w:rsidR="00A0559F" w:rsidRPr="00000353" w:rsidRDefault="00A0559F" w:rsidP="00A0559F">
      <w:pPr>
        <w:pStyle w:val="a3"/>
        <w:ind w:leftChars="0" w:left="161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Ensure that the same services are offered to each client and that appropriate level of care is adopted according to the clients’ characteristics, and thereby implement financial inclusion.</w:t>
      </w:r>
    </w:p>
    <w:p w14:paraId="1F576921" w14:textId="2F04E6AD" w:rsidR="00A0559F" w:rsidRPr="00000353" w:rsidRDefault="00A0559F" w:rsidP="00657CEE">
      <w:pPr>
        <w:pStyle w:val="a3"/>
        <w:numPr>
          <w:ilvl w:val="0"/>
          <w:numId w:val="5"/>
        </w:numPr>
        <w:ind w:leftChars="472" w:left="161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Implement the Principles of Ethical Management</w:t>
      </w:r>
    </w:p>
    <w:p w14:paraId="46371614" w14:textId="4BAEEB26" w:rsidR="0038263C" w:rsidRPr="00000353" w:rsidRDefault="00A0559F" w:rsidP="00657CEE">
      <w:pPr>
        <w:pStyle w:val="a3"/>
        <w:ind w:leftChars="672" w:left="161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Form a good corporate culture and practice the Principles for Fair Treatment of Customers through corporate governance</w:t>
      </w:r>
      <w:r w:rsidR="0038263C" w:rsidRPr="00000353">
        <w:rPr>
          <w:rFonts w:ascii="Times New Roman" w:hAnsi="Times New Roman" w:cs="Times New Roman"/>
          <w:sz w:val="26"/>
          <w:szCs w:val="26"/>
        </w:rPr>
        <w:t>.</w:t>
      </w:r>
    </w:p>
    <w:p w14:paraId="4A56E258"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Good Faith in Signing Contracts)</w:t>
      </w:r>
    </w:p>
    <w:p w14:paraId="02362516" w14:textId="6FEDFD12"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shall sign contracts with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onsumers for providing financial products or services based on the principle of good faith, and must specify related agreements in the contract. Any ambiguities conveyed by the terms of agreements shall be interpreted in the way that reflects the best interests of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onsumers.</w:t>
      </w:r>
    </w:p>
    <w:p w14:paraId="72396BAB"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(Due Care and Fiduciary Duty)</w:t>
      </w:r>
    </w:p>
    <w:p w14:paraId="1FE4858C"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exercise the due care of a prudent manager when providing financial products or services, and, unless otherwise stipulated by the law, shall pay attention to the following matters:</w:t>
      </w:r>
    </w:p>
    <w:p w14:paraId="1CE4112C" w14:textId="77777777" w:rsidR="0038263C" w:rsidRPr="00377AE5" w:rsidRDefault="0038263C" w:rsidP="00657CEE">
      <w:pPr>
        <w:pStyle w:val="a3"/>
        <w:numPr>
          <w:ilvl w:val="0"/>
          <w:numId w:val="7"/>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Data confidentiality: Unless otherwise stipulated by the law, </w:t>
      </w:r>
      <w:r w:rsidRPr="00377AE5">
        <w:rPr>
          <w:rFonts w:ascii="Times New Roman" w:hAnsi="Times New Roman" w:cs="Times New Roman"/>
          <w:sz w:val="26"/>
          <w:szCs w:val="26"/>
        </w:rPr>
        <w:lastRenderedPageBreak/>
        <w:t>subsidiaries shall maintain the confidentiality of consumers' basic information, transaction data, and other relevant data.</w:t>
      </w:r>
    </w:p>
    <w:p w14:paraId="74737922" w14:textId="77777777" w:rsidR="0038263C" w:rsidRPr="00377AE5" w:rsidRDefault="0038263C" w:rsidP="00657CEE">
      <w:pPr>
        <w:pStyle w:val="a3"/>
        <w:numPr>
          <w:ilvl w:val="0"/>
          <w:numId w:val="7"/>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Data processing and use: Subsidiaries shall ensure the correct transmission, processing, and use of data, and may not use consumers' data for marketing for a third party.</w:t>
      </w:r>
    </w:p>
    <w:p w14:paraId="0CFAF761" w14:textId="77777777" w:rsidR="0038263C" w:rsidRPr="00377AE5" w:rsidRDefault="0038263C" w:rsidP="00657CEE">
      <w:pPr>
        <w:pStyle w:val="a3"/>
        <w:numPr>
          <w:ilvl w:val="0"/>
          <w:numId w:val="7"/>
        </w:numPr>
        <w:ind w:leftChars="472" w:left="161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Data retention: Subsidiaries shall ensure the authenticity and integrity of transaction records and related data that are retained, and retain the data according to applicable laws and regulations.</w:t>
      </w:r>
    </w:p>
    <w:p w14:paraId="12F0F89E"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Where the financial products or services provided by a subsidiary involves a trust or mandate, the fiduciary duty shall be exercised as required by the applicable laws or contracts.</w:t>
      </w:r>
    </w:p>
    <w:p w14:paraId="417E779A"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Advertising and Solicitation Integrity)</w:t>
      </w:r>
    </w:p>
    <w:p w14:paraId="2BBF1D3F" w14:textId="61266AF6"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are prohibited from hiding the truth or disseminating false, fraudulent or misleading materials when publishing or disseminating advertisements for business solicitation or promotions, and shall</w:t>
      </w:r>
      <w:r w:rsidR="00EF782E">
        <w:rPr>
          <w:rFonts w:ascii="Times New Roman" w:hAnsi="Times New Roman" w:cs="Times New Roman" w:hint="eastAsia"/>
          <w:sz w:val="26"/>
          <w:szCs w:val="26"/>
        </w:rPr>
        <w:t xml:space="preserve"> </w:t>
      </w:r>
      <w:r w:rsidR="00EF782E" w:rsidRPr="00955A3A">
        <w:rPr>
          <w:rFonts w:ascii="Times New Roman" w:hAnsi="Times New Roman" w:cs="Times New Roman"/>
          <w:sz w:val="26"/>
          <w:szCs w:val="26"/>
        </w:rPr>
        <w:t>evaluate all advertising and marketing content for gender biases prior to publication</w:t>
      </w:r>
      <w:r w:rsidRPr="00377AE5">
        <w:rPr>
          <w:rFonts w:ascii="Times New Roman" w:hAnsi="Times New Roman" w:cs="Times New Roman"/>
          <w:sz w:val="26"/>
          <w:szCs w:val="26"/>
        </w:rPr>
        <w:t xml:space="preserve"> </w:t>
      </w:r>
      <w:r w:rsidR="00EF782E" w:rsidRPr="00955A3A">
        <w:rPr>
          <w:rFonts w:ascii="Times New Roman" w:hAnsi="Times New Roman" w:cs="Times New Roman"/>
          <w:sz w:val="26"/>
          <w:szCs w:val="26"/>
        </w:rPr>
        <w:t>as well as</w:t>
      </w:r>
      <w:r w:rsidRPr="00377AE5">
        <w:rPr>
          <w:rFonts w:ascii="Times New Roman" w:hAnsi="Times New Roman" w:cs="Times New Roman"/>
          <w:sz w:val="26"/>
          <w:szCs w:val="26"/>
        </w:rPr>
        <w:t xml:space="preserve"> ensure the validity of the contents of advertisements. The duty of subsidiaries to consumers may not be lower than the contents of the advertisements or the data or descriptions provided to consumers during business solicitation or promotions.</w:t>
      </w:r>
    </w:p>
    <w:p w14:paraId="5DD1CC9B" w14:textId="2280D2A8"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The advertisement, business solicitation, and promotion method, contents, and other matters requiring compliance in the preceding paragraph shall be in accordance with the "Regulations on the Advertisement, Solicitation, and Business Promotion Activities of Financial Service Industry" and self-regulations. Subsidiaries shall also establish related regulations</w:t>
      </w:r>
      <w:r w:rsidR="00EF782E">
        <w:rPr>
          <w:rFonts w:ascii="Times New Roman" w:hAnsi="Times New Roman" w:cs="Times New Roman"/>
          <w:sz w:val="26"/>
          <w:szCs w:val="26"/>
        </w:rPr>
        <w:t xml:space="preserve"> </w:t>
      </w:r>
      <w:r w:rsidR="00EF782E" w:rsidRPr="00955A3A">
        <w:rPr>
          <w:rFonts w:ascii="Times New Roman" w:hAnsi="Times New Roman" w:cs="Times New Roman"/>
          <w:sz w:val="26"/>
          <w:szCs w:val="26"/>
        </w:rPr>
        <w:t>and shall not have gender biases to implement principle of gender equality</w:t>
      </w:r>
      <w:r w:rsidRPr="00377AE5">
        <w:rPr>
          <w:rFonts w:ascii="Times New Roman" w:hAnsi="Times New Roman" w:cs="Times New Roman"/>
          <w:sz w:val="26"/>
          <w:szCs w:val="26"/>
        </w:rPr>
        <w:t>.</w:t>
      </w:r>
    </w:p>
    <w:p w14:paraId="54A34487" w14:textId="1812A14A"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may not promote specific financial products or services in </w:t>
      </w:r>
      <w:r w:rsidR="00786A6F">
        <w:rPr>
          <w:rFonts w:ascii="Times New Roman" w:hAnsi="Times New Roman" w:cs="Times New Roman"/>
          <w:sz w:val="26"/>
          <w:szCs w:val="26"/>
        </w:rPr>
        <w:t>any</w:t>
      </w:r>
      <w:r w:rsidRPr="00377AE5">
        <w:rPr>
          <w:rFonts w:ascii="Times New Roman" w:hAnsi="Times New Roman" w:cs="Times New Roman"/>
          <w:sz w:val="26"/>
          <w:szCs w:val="26"/>
        </w:rPr>
        <w:t xml:space="preserve"> finance education.</w:t>
      </w:r>
    </w:p>
    <w:p w14:paraId="1688D04E"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must immediately cease the use of personal information for marketing purposes once the information owner has explicitly refused to participate in the marketing program.</w:t>
      </w:r>
    </w:p>
    <w:p w14:paraId="19ABEAF9"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Product and Service Suitability)</w:t>
      </w:r>
    </w:p>
    <w:p w14:paraId="7362137E" w14:textId="524A7A86"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shall gain a full understanding of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onsumer's information to make sure the product is suitable for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 before entering a financial product or service agreement with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w:t>
      </w:r>
    </w:p>
    <w:p w14:paraId="1492BC17" w14:textId="3879585C"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Financial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 related data that subsidiaries must gain a full </w:t>
      </w:r>
      <w:r w:rsidRPr="00377AE5">
        <w:rPr>
          <w:rFonts w:ascii="Times New Roman" w:hAnsi="Times New Roman" w:cs="Times New Roman"/>
          <w:sz w:val="26"/>
          <w:szCs w:val="26"/>
        </w:rPr>
        <w:lastRenderedPageBreak/>
        <w:t xml:space="preserve">understanding of, matters taken into consideration when determining suitability, and other matters requiring compliance in the preceding paragraph shall be in accordance with the </w:t>
      </w:r>
      <w:r w:rsidR="0040615D" w:rsidRPr="0040615D">
        <w:rPr>
          <w:rFonts w:ascii="Times New Roman" w:hAnsi="Times New Roman" w:cs="Times New Roman"/>
          <w:sz w:val="26"/>
          <w:szCs w:val="26"/>
        </w:rPr>
        <w:t xml:space="preserve">Regulations Governing Financial Services Enterprises to Ensure Financial Products or Services being Suitable to Financial Consumers </w:t>
      </w:r>
      <w:r w:rsidRPr="00377AE5">
        <w:rPr>
          <w:rFonts w:ascii="Times New Roman" w:hAnsi="Times New Roman" w:cs="Times New Roman"/>
          <w:sz w:val="26"/>
          <w:szCs w:val="26"/>
        </w:rPr>
        <w:t>and self-regulations. Subsidiaries shall also establish related regulations.</w:t>
      </w:r>
    </w:p>
    <w:p w14:paraId="5C4686CF" w14:textId="1116D95E" w:rsidR="0038263C" w:rsidRDefault="0038263C" w:rsidP="00657CEE">
      <w:pPr>
        <w:pStyle w:val="a3"/>
        <w:ind w:leftChars="472" w:left="1133"/>
        <w:jc w:val="both"/>
        <w:rPr>
          <w:rFonts w:ascii="Times New Roman" w:hAnsi="Times New Roman" w:cs="Times New Roman"/>
          <w:sz w:val="26"/>
          <w:szCs w:val="26"/>
        </w:rPr>
      </w:pPr>
      <w:r w:rsidRPr="00377AE5">
        <w:rPr>
          <w:rFonts w:ascii="Times New Roman" w:hAnsi="Times New Roman" w:cs="Times New Roman"/>
          <w:sz w:val="26"/>
          <w:szCs w:val="26"/>
        </w:rPr>
        <w:t xml:space="preserve">Subsidiaries shall retain records of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 attribute evaluations in Paragraph 1, and may not provide financial products or services that exceed the level they are suitable for or are limited to professional customers.</w:t>
      </w:r>
    </w:p>
    <w:p w14:paraId="349D9DBA" w14:textId="677089C0" w:rsidR="00A0559F" w:rsidRPr="00000353" w:rsidRDefault="0091350C" w:rsidP="00657CEE">
      <w:pPr>
        <w:pStyle w:val="a3"/>
        <w:ind w:leftChars="472" w:left="1133"/>
        <w:jc w:val="both"/>
        <w:rPr>
          <w:rFonts w:ascii="Times New Roman" w:eastAsia="標楷體" w:hAnsi="Times New Roman" w:cs="Times New Roman"/>
          <w:sz w:val="26"/>
        </w:rPr>
      </w:pPr>
      <w:r w:rsidRPr="00000353">
        <w:rPr>
          <w:rFonts w:ascii="Times New Roman" w:eastAsia="標楷體" w:hAnsi="Times New Roman" w:cs="Times New Roman"/>
          <w:sz w:val="26"/>
        </w:rPr>
        <w:t>C</w:t>
      </w:r>
      <w:r w:rsidR="00A0559F" w:rsidRPr="00000353">
        <w:rPr>
          <w:rFonts w:ascii="Times New Roman" w:eastAsia="標楷體" w:hAnsi="Times New Roman" w:cs="Times New Roman"/>
          <w:sz w:val="26"/>
        </w:rPr>
        <w:t>omplex and high-risk products</w:t>
      </w:r>
      <w:r w:rsidRPr="00000353">
        <w:rPr>
          <w:rFonts w:ascii="Times New Roman" w:eastAsia="標楷體" w:hAnsi="Times New Roman" w:cs="Times New Roman"/>
          <w:sz w:val="26"/>
        </w:rPr>
        <w:t xml:space="preserve"> sold by subsidiaries must be reported</w:t>
      </w:r>
      <w:r w:rsidR="00A0559F" w:rsidRPr="00000353">
        <w:rPr>
          <w:rFonts w:ascii="Times New Roman" w:eastAsia="標楷體" w:hAnsi="Times New Roman" w:cs="Times New Roman"/>
          <w:sz w:val="26"/>
        </w:rPr>
        <w:t xml:space="preserve"> to the Board of Directors or the Board of Executive Directors for approval before their initial offering.</w:t>
      </w:r>
    </w:p>
    <w:p w14:paraId="177A924B" w14:textId="3A157574" w:rsidR="00A0559F" w:rsidRPr="00000353" w:rsidRDefault="00A0559F" w:rsidP="00657CEE">
      <w:pPr>
        <w:pStyle w:val="a3"/>
        <w:ind w:leftChars="472" w:left="113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The types of complex high-risk products in the preceding paragraph are subject to the regulations of the competent authority.</w:t>
      </w:r>
    </w:p>
    <w:p w14:paraId="18AEA5D8"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Information Disclosure)</w:t>
      </w:r>
    </w:p>
    <w:p w14:paraId="7F1CFF7F" w14:textId="7E88A74C"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Subsidiaries shall fully disclose important contents and risks of the financial product, service and contract before entering into an agreement with a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 for providing a financial product or service.</w:t>
      </w:r>
    </w:p>
    <w:p w14:paraId="1682958A" w14:textId="312977ED"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 shall be fully informed of his/her rights concerning the protection of personal data in the collection, processing and use of personal data in the preceding paragraph, and the possible disadvantages of not agreeing to the terms and conditions. </w:t>
      </w:r>
      <w:r w:rsidR="00271BD0">
        <w:rPr>
          <w:rFonts w:ascii="Times New Roman" w:hAnsi="Times New Roman" w:cs="Times New Roman"/>
          <w:sz w:val="26"/>
          <w:szCs w:val="26"/>
        </w:rPr>
        <w:t>When conducting loan business, s</w:t>
      </w:r>
      <w:r w:rsidRPr="00377AE5">
        <w:rPr>
          <w:rFonts w:ascii="Times New Roman" w:hAnsi="Times New Roman" w:cs="Times New Roman"/>
          <w:sz w:val="26"/>
          <w:szCs w:val="26"/>
        </w:rPr>
        <w:t xml:space="preserve">ubsidiaries shall carefully consider </w:t>
      </w:r>
      <w:r w:rsidR="00271BD0">
        <w:rPr>
          <w:rFonts w:ascii="Times New Roman" w:hAnsi="Times New Roman" w:cs="Times New Roman"/>
          <w:sz w:val="26"/>
          <w:szCs w:val="26"/>
        </w:rPr>
        <w:t xml:space="preserve">the credit criteria such as </w:t>
      </w:r>
      <w:r w:rsidRPr="00377AE5">
        <w:rPr>
          <w:rFonts w:ascii="Times New Roman" w:hAnsi="Times New Roman" w:cs="Times New Roman"/>
          <w:sz w:val="26"/>
          <w:szCs w:val="26"/>
        </w:rPr>
        <w:t xml:space="preserve">the borrower, </w:t>
      </w:r>
      <w:r w:rsidR="00271BD0">
        <w:rPr>
          <w:rFonts w:ascii="Times New Roman" w:hAnsi="Times New Roman" w:cs="Times New Roman"/>
          <w:sz w:val="26"/>
          <w:szCs w:val="26"/>
        </w:rPr>
        <w:t>the purpose</w:t>
      </w:r>
      <w:r w:rsidRPr="00377AE5">
        <w:rPr>
          <w:rFonts w:ascii="Times New Roman" w:hAnsi="Times New Roman" w:cs="Times New Roman"/>
          <w:sz w:val="26"/>
          <w:szCs w:val="26"/>
        </w:rPr>
        <w:t xml:space="preserve">, the source of repayment, the </w:t>
      </w:r>
      <w:r w:rsidR="00271BD0">
        <w:rPr>
          <w:rFonts w:ascii="Times New Roman" w:hAnsi="Times New Roman" w:cs="Times New Roman"/>
          <w:sz w:val="26"/>
          <w:szCs w:val="26"/>
        </w:rPr>
        <w:t xml:space="preserve">protection </w:t>
      </w:r>
      <w:r w:rsidRPr="00377AE5">
        <w:rPr>
          <w:rFonts w:ascii="Times New Roman" w:hAnsi="Times New Roman" w:cs="Times New Roman"/>
          <w:sz w:val="26"/>
          <w:szCs w:val="26"/>
        </w:rPr>
        <w:t xml:space="preserve">for its claim, </w:t>
      </w:r>
      <w:r w:rsidR="00271BD0">
        <w:rPr>
          <w:rFonts w:ascii="Times New Roman" w:hAnsi="Times New Roman" w:cs="Times New Roman"/>
          <w:sz w:val="26"/>
          <w:szCs w:val="26"/>
        </w:rPr>
        <w:t xml:space="preserve">and </w:t>
      </w:r>
      <w:r w:rsidRPr="00377AE5">
        <w:rPr>
          <w:rFonts w:ascii="Times New Roman" w:hAnsi="Times New Roman" w:cs="Times New Roman"/>
          <w:sz w:val="26"/>
          <w:szCs w:val="26"/>
        </w:rPr>
        <w:t>the perspective</w:t>
      </w:r>
      <w:r w:rsidR="002F38FC">
        <w:rPr>
          <w:rFonts w:ascii="Times New Roman" w:hAnsi="Times New Roman" w:cs="Times New Roman"/>
          <w:sz w:val="26"/>
          <w:szCs w:val="26"/>
        </w:rPr>
        <w:t>. It</w:t>
      </w:r>
      <w:r w:rsidRPr="00377AE5">
        <w:rPr>
          <w:rFonts w:ascii="Times New Roman" w:hAnsi="Times New Roman" w:cs="Times New Roman"/>
          <w:sz w:val="26"/>
          <w:szCs w:val="26"/>
        </w:rPr>
        <w:t xml:space="preserve"> shall not decline to provide a loan to a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 solely on the grounds that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onsumer has refused to authorize it to submit a query about his or her credit information to an enterprise that conducts inter-institutional credit information services.</w:t>
      </w:r>
    </w:p>
    <w:p w14:paraId="2AAF7FEA" w14:textId="5D201DB2" w:rsidR="0038263C" w:rsidRDefault="0038263C" w:rsidP="00657CEE">
      <w:pPr>
        <w:pStyle w:val="a3"/>
        <w:ind w:leftChars="472" w:left="1133"/>
        <w:jc w:val="both"/>
        <w:rPr>
          <w:rFonts w:ascii="Times New Roman" w:hAnsi="Times New Roman" w:cs="Times New Roman"/>
          <w:sz w:val="26"/>
          <w:szCs w:val="26"/>
        </w:rPr>
      </w:pPr>
      <w:r w:rsidRPr="00377AE5">
        <w:rPr>
          <w:rFonts w:ascii="Times New Roman" w:hAnsi="Times New Roman" w:cs="Times New Roman"/>
          <w:sz w:val="26"/>
          <w:szCs w:val="26"/>
        </w:rPr>
        <w:t xml:space="preserve">The explanations and disclosures that the financial services enterprise provides to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 as mentioned in Paragraph 1, shall be in text or use another method that is fully understandable to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sz w:val="26"/>
          <w:szCs w:val="26"/>
        </w:rPr>
        <w:t>C</w:t>
      </w:r>
      <w:r w:rsidRPr="00377AE5">
        <w:rPr>
          <w:rFonts w:ascii="Times New Roman" w:hAnsi="Times New Roman" w:cs="Times New Roman"/>
          <w:sz w:val="26"/>
          <w:szCs w:val="26"/>
        </w:rPr>
        <w:t xml:space="preserve">onsumer; the content thereof shall include, without limitation, aspects of material significance to the interests of the </w:t>
      </w:r>
      <w:r w:rsidR="00584CCB">
        <w:rPr>
          <w:rFonts w:ascii="Times New Roman" w:hAnsi="Times New Roman" w:cs="Times New Roman"/>
          <w:sz w:val="26"/>
          <w:szCs w:val="26"/>
        </w:rPr>
        <w:t>F</w:t>
      </w:r>
      <w:r w:rsidRPr="00377AE5">
        <w:rPr>
          <w:rFonts w:ascii="Times New Roman" w:hAnsi="Times New Roman" w:cs="Times New Roman"/>
          <w:sz w:val="26"/>
          <w:szCs w:val="26"/>
        </w:rPr>
        <w:t xml:space="preserve">inancial </w:t>
      </w:r>
      <w:r w:rsidR="00584CCB">
        <w:rPr>
          <w:rFonts w:ascii="Times New Roman" w:hAnsi="Times New Roman" w:cs="Times New Roman" w:hint="eastAsia"/>
          <w:sz w:val="26"/>
          <w:szCs w:val="26"/>
        </w:rPr>
        <w:t>C</w:t>
      </w:r>
      <w:r w:rsidRPr="00377AE5">
        <w:rPr>
          <w:rFonts w:ascii="Times New Roman" w:hAnsi="Times New Roman" w:cs="Times New Roman"/>
          <w:sz w:val="26"/>
          <w:szCs w:val="26"/>
        </w:rPr>
        <w:t>onsumer, such as transaction costs, and possible gains and risks, and records shall be retained. Audio or video shall be recorded if it is required by the law.</w:t>
      </w:r>
    </w:p>
    <w:p w14:paraId="34202EE6" w14:textId="20249615" w:rsidR="00513EC3" w:rsidRPr="00000353" w:rsidRDefault="00513EC3" w:rsidP="00657CEE">
      <w:pPr>
        <w:pStyle w:val="a3"/>
        <w:ind w:leftChars="472" w:left="1133"/>
        <w:jc w:val="both"/>
        <w:rPr>
          <w:rFonts w:ascii="Times New Roman" w:eastAsia="標楷體" w:hAnsi="Times New Roman" w:cs="Times New Roman"/>
          <w:sz w:val="26"/>
        </w:rPr>
      </w:pPr>
      <w:r w:rsidRPr="00000353">
        <w:rPr>
          <w:rFonts w:ascii="Times New Roman" w:eastAsia="標楷體" w:hAnsi="Times New Roman" w:cs="Times New Roman"/>
          <w:sz w:val="26"/>
        </w:rPr>
        <w:t xml:space="preserve">Subsidiaries shall provide explanations and disclosures, which must be </w:t>
      </w:r>
      <w:r w:rsidRPr="00000353">
        <w:rPr>
          <w:rFonts w:ascii="Times New Roman" w:eastAsia="標楷體" w:hAnsi="Times New Roman" w:cs="Times New Roman"/>
          <w:sz w:val="26"/>
        </w:rPr>
        <w:lastRenderedPageBreak/>
        <w:t>recorded in audio or video, when providing complex high-risk products to consumers, unless it is an automatic channel transaction or the Financial Consumer disagrees. Audio and video recordings shall be retained during the duration of the product plus three months. Also, it shall be retained for a minimum of five years if the duration of the product is less than 5 years. However, in the event of a financial consumer dispute, the recordings shall be retained until the dispute is resolved.</w:t>
      </w:r>
    </w:p>
    <w:p w14:paraId="369E5DA0" w14:textId="412DDA09" w:rsidR="00513EC3" w:rsidRPr="00000353" w:rsidRDefault="00513EC3" w:rsidP="00657CEE">
      <w:pPr>
        <w:pStyle w:val="a3"/>
        <w:ind w:leftChars="472" w:left="1133"/>
        <w:jc w:val="both"/>
        <w:rPr>
          <w:rFonts w:ascii="Times New Roman" w:eastAsia="標楷體" w:hAnsi="Times New Roman" w:cs="Times New Roman"/>
          <w:sz w:val="26"/>
        </w:rPr>
      </w:pPr>
      <w:r w:rsidRPr="00000353">
        <w:rPr>
          <w:rFonts w:ascii="Times New Roman" w:eastAsia="標楷體" w:hAnsi="Times New Roman" w:cs="Times New Roman"/>
          <w:sz w:val="26"/>
        </w:rPr>
        <w:t>Automatic not-over-the-counter channel transactions in the preceding paragraph refers to electronic transactions retained by subsidiaries in electronic equipment and relevant process of the transaction explained and disclosed to financial consumers.</w:t>
      </w:r>
    </w:p>
    <w:p w14:paraId="171253CE" w14:textId="3364C853" w:rsidR="00513EC3" w:rsidRPr="00000353" w:rsidRDefault="00513EC3" w:rsidP="00657CEE">
      <w:pPr>
        <w:pStyle w:val="a3"/>
        <w:ind w:leftChars="472" w:left="1133"/>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If the consumer does not agree to audio or video recording in Paragraph 4, the consumer must express it in writing and sign and affix his/her seal. The document must be retained for the period specified in Paragraph 4.</w:t>
      </w:r>
    </w:p>
    <w:p w14:paraId="3F6FB70C" w14:textId="2A0ABC99"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Equitable Remuneration and Performance)</w:t>
      </w:r>
    </w:p>
    <w:p w14:paraId="3BCE17AF"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establish a remuneration system for sales personnel, which must comply with principles established by the industry association and be submitted to the Board of Directors for approval.</w:t>
      </w:r>
    </w:p>
    <w:p w14:paraId="6C6F639F" w14:textId="21AFDA56"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The rights and interests of customers and potential risks of financial products or services to the financial service industry or customers shall be considered for the remuneration system in the preceding paragraph. The </w:t>
      </w:r>
      <w:r w:rsidR="000E6289">
        <w:rPr>
          <w:rFonts w:ascii="Times New Roman" w:hAnsi="Times New Roman" w:cs="Times New Roman"/>
          <w:sz w:val="26"/>
          <w:szCs w:val="26"/>
        </w:rPr>
        <w:t>subsidiary</w:t>
      </w:r>
      <w:r w:rsidR="000E6289" w:rsidRPr="00377AE5">
        <w:rPr>
          <w:rFonts w:ascii="Times New Roman" w:hAnsi="Times New Roman" w:cs="Times New Roman"/>
          <w:sz w:val="26"/>
          <w:szCs w:val="26"/>
        </w:rPr>
        <w:t xml:space="preserve"> </w:t>
      </w:r>
      <w:r w:rsidRPr="00377AE5">
        <w:rPr>
          <w:rFonts w:ascii="Times New Roman" w:hAnsi="Times New Roman" w:cs="Times New Roman"/>
          <w:sz w:val="26"/>
          <w:szCs w:val="26"/>
        </w:rPr>
        <w:t>may not confine its criteria to the achievement of business performance goals for financial products or services.</w:t>
      </w:r>
    </w:p>
    <w:p w14:paraId="084DBCCE"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Grievance Mechanism and Protection)</w:t>
      </w:r>
    </w:p>
    <w:p w14:paraId="2950EFFF"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establish a customer grievance and dispute resolution system (including SOP), which shall at least include the scope of consumer disputes, organization, methods for accepting complaints, processing procedures, processing timeliness, progress inquiry, follow-up audit, training, and regular reviews. The system must be reported to the Board of Directors for approval.</w:t>
      </w:r>
    </w:p>
    <w:p w14:paraId="2113D637"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handle customer disputes related to products or services within the time limit prescribed in the Financial Consumer Protection Act, in order to improve customer satisfaction.</w:t>
      </w:r>
    </w:p>
    <w:p w14:paraId="110DC7E3"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(Principle of Sales Personnel Professionalism)</w:t>
      </w:r>
    </w:p>
    <w:p w14:paraId="58BA0304"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Sales personnel of subsidiaries that are responsible for selling financial products or providing financial services must obtain certifications and complete training in accordance with applicable laws and regulations. </w:t>
      </w:r>
      <w:r w:rsidRPr="00377AE5">
        <w:rPr>
          <w:rFonts w:ascii="Times New Roman" w:hAnsi="Times New Roman" w:cs="Times New Roman"/>
          <w:sz w:val="26"/>
          <w:szCs w:val="26"/>
        </w:rPr>
        <w:lastRenderedPageBreak/>
        <w:t>Unqualified employees are not allowed to hold the position.</w:t>
      </w:r>
    </w:p>
    <w:p w14:paraId="019DD49D" w14:textId="396C3B4F" w:rsidR="006C5794" w:rsidRPr="00000353" w:rsidRDefault="006C5794"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 xml:space="preserve">(Principles for </w:t>
      </w:r>
      <w:r w:rsidR="00430D2D" w:rsidRPr="00000353">
        <w:rPr>
          <w:rFonts w:ascii="Times New Roman" w:eastAsia="標楷體" w:hAnsi="Times New Roman" w:cs="Times New Roman"/>
          <w:sz w:val="26"/>
        </w:rPr>
        <w:t>Friendly Services</w:t>
      </w:r>
      <w:r w:rsidRPr="00000353">
        <w:rPr>
          <w:rFonts w:ascii="Times New Roman" w:eastAsia="標楷體" w:hAnsi="Times New Roman" w:cs="Times New Roman"/>
          <w:sz w:val="26"/>
        </w:rPr>
        <w:t>)</w:t>
      </w:r>
    </w:p>
    <w:p w14:paraId="54BFD11E" w14:textId="2611E1EB" w:rsidR="006C5794" w:rsidRPr="00000353" w:rsidRDefault="006C5794" w:rsidP="006C5794">
      <w:pPr>
        <w:pStyle w:val="a3"/>
        <w:spacing w:beforeLines="50" w:before="180"/>
        <w:ind w:leftChars="0" w:left="1134"/>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The subsidiaries shall</w:t>
      </w:r>
      <w:r w:rsidR="002A1EE2">
        <w:rPr>
          <w:rFonts w:ascii="Times New Roman" w:eastAsia="標楷體" w:hAnsi="Times New Roman" w:cs="Times New Roman"/>
          <w:sz w:val="26"/>
        </w:rPr>
        <w:t xml:space="preserve"> </w:t>
      </w:r>
      <w:bookmarkStart w:id="0" w:name="_GoBack"/>
      <w:r w:rsidR="002A1EE2" w:rsidRPr="00955A3A">
        <w:rPr>
          <w:rFonts w:ascii="Times New Roman" w:eastAsia="標楷體" w:hAnsi="Times New Roman" w:cs="Times New Roman"/>
          <w:sz w:val="26"/>
        </w:rPr>
        <w:t xml:space="preserve">not </w:t>
      </w:r>
      <w:r w:rsidR="00E27D97" w:rsidRPr="00955A3A">
        <w:rPr>
          <w:rFonts w:ascii="Times New Roman" w:eastAsia="標楷體" w:hAnsi="Times New Roman" w:cs="Times New Roman"/>
          <w:sz w:val="26"/>
        </w:rPr>
        <w:t xml:space="preserve">have discrimination based on gender biases and shall </w:t>
      </w:r>
      <w:r w:rsidRPr="00000353">
        <w:rPr>
          <w:rFonts w:ascii="Times New Roman" w:eastAsia="標楷體" w:hAnsi="Times New Roman" w:cs="Times New Roman"/>
          <w:sz w:val="26"/>
        </w:rPr>
        <w:t>consider the nee</w:t>
      </w:r>
      <w:bookmarkEnd w:id="0"/>
      <w:r w:rsidRPr="00000353">
        <w:rPr>
          <w:rFonts w:ascii="Times New Roman" w:eastAsia="標楷體" w:hAnsi="Times New Roman" w:cs="Times New Roman"/>
          <w:sz w:val="26"/>
        </w:rPr>
        <w:t>ds of the physically and mentally disabled, the elderly, and the financially disadvantaged, and adopt appropriate and friendly measures at all phases of financial products and services, from design to sales; and monitor and evaluate the financial products and services to ensure they meet client needs.</w:t>
      </w:r>
    </w:p>
    <w:p w14:paraId="5DC59812" w14:textId="369165AA" w:rsidR="006C5794" w:rsidRPr="00000353" w:rsidRDefault="006C5794"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(Implement the Principles of Ethical Management)</w:t>
      </w:r>
    </w:p>
    <w:p w14:paraId="02F5F3BE" w14:textId="0046BC6F" w:rsidR="006C5794" w:rsidRPr="00000353" w:rsidRDefault="006C5794" w:rsidP="006C5794">
      <w:pPr>
        <w:pStyle w:val="a3"/>
        <w:spacing w:beforeLines="50" w:before="180"/>
        <w:ind w:leftChars="0" w:left="1134"/>
        <w:jc w:val="both"/>
        <w:rPr>
          <w:rFonts w:ascii="Times New Roman" w:eastAsia="新細明體" w:hAnsi="Times New Roman" w:cs="Times New Roman"/>
          <w:kern w:val="0"/>
          <w:sz w:val="26"/>
          <w:szCs w:val="26"/>
        </w:rPr>
      </w:pPr>
      <w:r w:rsidRPr="00000353">
        <w:rPr>
          <w:rFonts w:ascii="Times New Roman" w:eastAsia="標楷體" w:hAnsi="Times New Roman" w:cs="Times New Roman"/>
          <w:sz w:val="26"/>
        </w:rPr>
        <w:t>Subsidiaries shall promote an ethical management culture from the top down</w:t>
      </w:r>
      <w:r w:rsidR="00321C9E" w:rsidRPr="00000353">
        <w:rPr>
          <w:rFonts w:ascii="Times New Roman" w:eastAsia="標楷體" w:hAnsi="Times New Roman" w:cs="Times New Roman"/>
          <w:sz w:val="26"/>
        </w:rPr>
        <w:t xml:space="preserve"> and </w:t>
      </w:r>
      <w:r w:rsidRPr="00000353">
        <w:rPr>
          <w:rFonts w:ascii="Times New Roman" w:eastAsia="標楷體" w:hAnsi="Times New Roman" w:cs="Times New Roman"/>
          <w:sz w:val="26"/>
        </w:rPr>
        <w:t>develop</w:t>
      </w:r>
      <w:r w:rsidR="00321C9E" w:rsidRPr="00000353">
        <w:rPr>
          <w:rFonts w:ascii="Times New Roman" w:eastAsia="標楷體" w:hAnsi="Times New Roman" w:cs="Times New Roman"/>
          <w:sz w:val="26"/>
        </w:rPr>
        <w:t xml:space="preserve"> and promote</w:t>
      </w:r>
      <w:r w:rsidRPr="00000353">
        <w:rPr>
          <w:rFonts w:ascii="Times New Roman" w:eastAsia="標楷體" w:hAnsi="Times New Roman" w:cs="Times New Roman"/>
          <w:sz w:val="26"/>
        </w:rPr>
        <w:t xml:space="preserve"> relevant measures based on their business characteristics, such as an employee code of conduct, measures for the prevention of conflicts of interest, appropriate reporting channels, comprehensive education and training,</w:t>
      </w:r>
      <w:r w:rsidR="0091350C" w:rsidRPr="00000353">
        <w:rPr>
          <w:rFonts w:ascii="Times New Roman" w:eastAsia="標楷體" w:hAnsi="Times New Roman" w:cs="Times New Roman"/>
          <w:sz w:val="26"/>
        </w:rPr>
        <w:t xml:space="preserve"> </w:t>
      </w:r>
      <w:r w:rsidR="00644B96" w:rsidRPr="00000353">
        <w:rPr>
          <w:rFonts w:ascii="Times New Roman" w:eastAsia="標楷體" w:hAnsi="Times New Roman" w:cs="Times New Roman"/>
          <w:sz w:val="26"/>
        </w:rPr>
        <w:t>as well as</w:t>
      </w:r>
      <w:r w:rsidR="0091350C" w:rsidRPr="00000353">
        <w:rPr>
          <w:rFonts w:ascii="Times New Roman" w:eastAsia="標楷體" w:hAnsi="Times New Roman" w:cs="Times New Roman"/>
          <w:sz w:val="26"/>
        </w:rPr>
        <w:t xml:space="preserve"> implementation</w:t>
      </w:r>
      <w:r w:rsidR="00644B96" w:rsidRPr="00000353">
        <w:rPr>
          <w:rFonts w:ascii="Times New Roman" w:eastAsia="標楷體" w:hAnsi="Times New Roman" w:cs="Times New Roman"/>
          <w:sz w:val="26"/>
        </w:rPr>
        <w:t xml:space="preserve">, </w:t>
      </w:r>
      <w:r w:rsidRPr="00000353">
        <w:rPr>
          <w:rFonts w:ascii="Times New Roman" w:eastAsia="標楷體" w:hAnsi="Times New Roman" w:cs="Times New Roman"/>
          <w:sz w:val="26"/>
        </w:rPr>
        <w:t>regular review and revision of such measures.</w:t>
      </w:r>
    </w:p>
    <w:p w14:paraId="73128917" w14:textId="14AB1052"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(Regulatory Compliance)</w:t>
      </w:r>
    </w:p>
    <w:p w14:paraId="292232FD"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comply with the Consumer Protection Act and related regulations when preparing product or service manuals, application forms, standard form contracts, and risk disclosure statements, which may not contain any clauses that are clearly unfair to consumers, and shall fully disclose risks and interest/fee rates.</w:t>
      </w:r>
    </w:p>
    <w:p w14:paraId="200AE2A9"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Besides complying with the Consumer Protection Act and applicable regulations, subsidiaries shall maintain the confidentiality of customers' personal information and the fairness of transactions in accordance with applicable regulations.</w:t>
      </w:r>
    </w:p>
    <w:p w14:paraId="5CA64390"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(Training)</w:t>
      </w:r>
    </w:p>
    <w:p w14:paraId="717AC0CE"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continue to provide employees with training related to the Financial Consumer Protection Act, Treating Customers Fairly Principle, and related laws and regulations, and include the cause and improvement measures for common or major consumer disputes into training materials.</w:t>
      </w:r>
    </w:p>
    <w:p w14:paraId="0D438258"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(Internal Control and Audit System Management)</w:t>
      </w:r>
    </w:p>
    <w:p w14:paraId="71EC25D5"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Subsidiaries shall establish related regulations according the Guidelines, and implement the regulations in their internal control and audit system.</w:t>
      </w:r>
    </w:p>
    <w:p w14:paraId="0B74619B"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lastRenderedPageBreak/>
        <w:t>(Other Matters)</w:t>
      </w:r>
    </w:p>
    <w:p w14:paraId="0AD1294A" w14:textId="7257EB55"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Where </w:t>
      </w:r>
      <w:r w:rsidR="000E6289">
        <w:rPr>
          <w:rFonts w:ascii="Times New Roman" w:hAnsi="Times New Roman" w:cs="Times New Roman"/>
          <w:sz w:val="26"/>
          <w:szCs w:val="26"/>
        </w:rPr>
        <w:t>the subsidiary of the subsidiaries</w:t>
      </w:r>
      <w:r w:rsidRPr="00377AE5">
        <w:rPr>
          <w:rFonts w:ascii="Times New Roman" w:hAnsi="Times New Roman" w:cs="Times New Roman"/>
          <w:sz w:val="26"/>
          <w:szCs w:val="26"/>
        </w:rPr>
        <w:t xml:space="preserve"> is a financial service institution defined in the Financial Consumer Protection Act, it shall establish the principle of treating customers fairly and regulations related to the Financial Consumer Protection Act. However, overseas subsidiaries shall comply with local laws and regulations.</w:t>
      </w:r>
    </w:p>
    <w:p w14:paraId="1529B548"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A subsidiary in the preceding paragraph refers to a company defined in Article 369-2 and Article 369-3 of the Company Act.</w:t>
      </w:r>
    </w:p>
    <w:p w14:paraId="7C1C43E0"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(Matters Not Covered Herein)</w:t>
      </w:r>
    </w:p>
    <w:p w14:paraId="6364D578" w14:textId="7505E164"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 xml:space="preserve">Any matters that are not covered in the Guidelines shall be handled according to the </w:t>
      </w:r>
      <w:r w:rsidR="00C609F2">
        <w:rPr>
          <w:rFonts w:ascii="Times New Roman" w:hAnsi="Times New Roman" w:cs="Times New Roman"/>
          <w:sz w:val="26"/>
          <w:szCs w:val="26"/>
        </w:rPr>
        <w:t>T</w:t>
      </w:r>
      <w:r w:rsidRPr="00377AE5">
        <w:rPr>
          <w:rFonts w:ascii="Times New Roman" w:hAnsi="Times New Roman" w:cs="Times New Roman"/>
          <w:sz w:val="26"/>
          <w:szCs w:val="26"/>
        </w:rPr>
        <w:t xml:space="preserve">reating </w:t>
      </w:r>
      <w:r w:rsidR="00C609F2">
        <w:rPr>
          <w:rFonts w:ascii="Times New Roman" w:hAnsi="Times New Roman" w:cs="Times New Roman"/>
          <w:sz w:val="26"/>
          <w:szCs w:val="26"/>
        </w:rPr>
        <w:t>C</w:t>
      </w:r>
      <w:r w:rsidRPr="00377AE5">
        <w:rPr>
          <w:rFonts w:ascii="Times New Roman" w:hAnsi="Times New Roman" w:cs="Times New Roman"/>
          <w:sz w:val="26"/>
          <w:szCs w:val="26"/>
        </w:rPr>
        <w:t xml:space="preserve">ustomers </w:t>
      </w:r>
      <w:r w:rsidR="00C609F2">
        <w:rPr>
          <w:rFonts w:ascii="Times New Roman" w:hAnsi="Times New Roman" w:cs="Times New Roman"/>
          <w:sz w:val="26"/>
          <w:szCs w:val="26"/>
        </w:rPr>
        <w:t>F</w:t>
      </w:r>
      <w:r w:rsidRPr="00377AE5">
        <w:rPr>
          <w:rFonts w:ascii="Times New Roman" w:hAnsi="Times New Roman" w:cs="Times New Roman"/>
          <w:sz w:val="26"/>
          <w:szCs w:val="26"/>
        </w:rPr>
        <w:t xml:space="preserve">airly </w:t>
      </w:r>
      <w:r w:rsidR="00C609F2">
        <w:rPr>
          <w:rFonts w:ascii="Times New Roman" w:hAnsi="Times New Roman" w:cs="Times New Roman"/>
          <w:sz w:val="26"/>
          <w:szCs w:val="26"/>
        </w:rPr>
        <w:t>P</w:t>
      </w:r>
      <w:r w:rsidRPr="00377AE5">
        <w:rPr>
          <w:rFonts w:ascii="Times New Roman" w:hAnsi="Times New Roman" w:cs="Times New Roman"/>
          <w:sz w:val="26"/>
          <w:szCs w:val="26"/>
        </w:rPr>
        <w:t>rinciple and the Financial Consumer Protection Act, as well as applicable regulations of each subsidiary.</w:t>
      </w:r>
    </w:p>
    <w:p w14:paraId="2E5E486B" w14:textId="77777777" w:rsidR="0038263C" w:rsidRPr="00377AE5" w:rsidRDefault="0038263C" w:rsidP="00657CEE">
      <w:pPr>
        <w:pStyle w:val="a3"/>
        <w:numPr>
          <w:ilvl w:val="0"/>
          <w:numId w:val="1"/>
        </w:numPr>
        <w:spacing w:beforeLines="50" w:before="180"/>
        <w:ind w:leftChars="0" w:left="1134" w:hanging="1134"/>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(Approval Level)</w:t>
      </w:r>
    </w:p>
    <w:p w14:paraId="720CF2F5" w14:textId="77777777" w:rsidR="0038263C" w:rsidRPr="00377AE5" w:rsidRDefault="0038263C" w:rsidP="00657CEE">
      <w:pPr>
        <w:pStyle w:val="a3"/>
        <w:ind w:leftChars="472" w:left="1133"/>
        <w:jc w:val="both"/>
        <w:rPr>
          <w:rFonts w:ascii="Times New Roman" w:eastAsia="新細明體" w:hAnsi="Times New Roman" w:cs="Times New Roman"/>
          <w:kern w:val="0"/>
          <w:sz w:val="26"/>
          <w:szCs w:val="26"/>
        </w:rPr>
      </w:pPr>
      <w:r w:rsidRPr="00377AE5">
        <w:rPr>
          <w:rFonts w:ascii="Times New Roman" w:hAnsi="Times New Roman" w:cs="Times New Roman"/>
          <w:sz w:val="26"/>
          <w:szCs w:val="26"/>
        </w:rPr>
        <w:t>The Guidelines shall become effective following the approval of the President. The same procedures shall apply to all future amendments or abolishment.</w:t>
      </w:r>
    </w:p>
    <w:p w14:paraId="2620780F" w14:textId="77777777" w:rsidR="003A318B" w:rsidRPr="00657CEE" w:rsidRDefault="003A318B" w:rsidP="00657CEE">
      <w:pPr>
        <w:widowControl/>
        <w:jc w:val="both"/>
        <w:rPr>
          <w:rFonts w:ascii="Times New Roman" w:eastAsia="新細明體" w:hAnsi="Times New Roman" w:cs="Times New Roman"/>
          <w:kern w:val="0"/>
        </w:rPr>
      </w:pPr>
    </w:p>
    <w:sectPr w:rsidR="003A318B" w:rsidRPr="00657CEE" w:rsidSect="00385E0F">
      <w:headerReference w:type="default" r:id="rId8"/>
      <w:footerReference w:type="default" r:id="rId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23BF1" w14:textId="77777777" w:rsidR="00292CAD" w:rsidRDefault="00292CAD" w:rsidP="003B3A3A">
      <w:r>
        <w:separator/>
      </w:r>
    </w:p>
  </w:endnote>
  <w:endnote w:type="continuationSeparator" w:id="0">
    <w:p w14:paraId="47BD7144" w14:textId="77777777" w:rsidR="00292CAD" w:rsidRDefault="00292CAD" w:rsidP="003B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0"/>
      </w:rPr>
      <w:id w:val="625512021"/>
      <w:docPartObj>
        <w:docPartGallery w:val="Page Numbers (Bottom of Page)"/>
        <w:docPartUnique/>
      </w:docPartObj>
    </w:sdtPr>
    <w:sdtEndPr/>
    <w:sdtContent>
      <w:p w14:paraId="5E7922C7" w14:textId="77777777" w:rsidR="00D80F57" w:rsidRPr="0038263C" w:rsidRDefault="00D80F57" w:rsidP="0038263C">
        <w:pPr>
          <w:pStyle w:val="a6"/>
          <w:jc w:val="center"/>
          <w:rPr>
            <w:kern w:val="0"/>
          </w:rPr>
        </w:pPr>
        <w:r w:rsidRPr="0038263C">
          <w:fldChar w:fldCharType="begin"/>
        </w:r>
        <w:r w:rsidRPr="0038263C">
          <w:instrText>PAGE   \* MERGEFORMAT</w:instrText>
        </w:r>
        <w:r w:rsidRPr="0038263C">
          <w:fldChar w:fldCharType="separate"/>
        </w:r>
        <w:r w:rsidRPr="0038263C">
          <w:t>2</w:t>
        </w:r>
        <w:r w:rsidRPr="0038263C">
          <w:fldChar w:fldCharType="end"/>
        </w:r>
      </w:p>
    </w:sdtContent>
  </w:sdt>
  <w:p w14:paraId="683803F5" w14:textId="77777777" w:rsidR="002A64DA" w:rsidRPr="0038263C" w:rsidRDefault="002A64DA" w:rsidP="0038263C">
    <w:pPr>
      <w:pStyle w:val="a6"/>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C35E" w14:textId="77777777" w:rsidR="00292CAD" w:rsidRDefault="00292CAD" w:rsidP="003B3A3A">
      <w:r>
        <w:separator/>
      </w:r>
    </w:p>
  </w:footnote>
  <w:footnote w:type="continuationSeparator" w:id="0">
    <w:p w14:paraId="5F32EEF5" w14:textId="77777777" w:rsidR="00292CAD" w:rsidRDefault="00292CAD" w:rsidP="003B3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7D71" w14:textId="647AD055" w:rsidR="002A64DA" w:rsidRPr="0038263C" w:rsidRDefault="002A64DA" w:rsidP="0038263C">
    <w:pPr>
      <w:pStyle w:val="a4"/>
      <w:jc w:val="right"/>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A4D"/>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61235A6"/>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C2D4686"/>
    <w:multiLevelType w:val="hybridMultilevel"/>
    <w:tmpl w:val="A9AA706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3CBF35B1"/>
    <w:multiLevelType w:val="hybridMultilevel"/>
    <w:tmpl w:val="A3C67472"/>
    <w:lvl w:ilvl="0" w:tplc="FB28CE72">
      <w:start w:val="1"/>
      <w:numFmt w:val="decimal"/>
      <w:lvlText w:val="Article %1."/>
      <w:lvlJc w:val="left"/>
      <w:pPr>
        <w:ind w:left="1975"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0C2616"/>
    <w:multiLevelType w:val="hybridMultilevel"/>
    <w:tmpl w:val="A9943BA8"/>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54CE3329"/>
    <w:multiLevelType w:val="hybridMultilevel"/>
    <w:tmpl w:val="0A5A8A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0371D4"/>
    <w:multiLevelType w:val="hybridMultilevel"/>
    <w:tmpl w:val="55F02D3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0E"/>
    <w:rsid w:val="00000353"/>
    <w:rsid w:val="00010C7F"/>
    <w:rsid w:val="00010D62"/>
    <w:rsid w:val="000177D5"/>
    <w:rsid w:val="00053E1A"/>
    <w:rsid w:val="00067CFA"/>
    <w:rsid w:val="000834EB"/>
    <w:rsid w:val="00084EF5"/>
    <w:rsid w:val="000912CC"/>
    <w:rsid w:val="00096798"/>
    <w:rsid w:val="000C2082"/>
    <w:rsid w:val="000D2012"/>
    <w:rsid w:val="000D3E38"/>
    <w:rsid w:val="000E0DA9"/>
    <w:rsid w:val="000E440A"/>
    <w:rsid w:val="000E562D"/>
    <w:rsid w:val="000E6289"/>
    <w:rsid w:val="000F096A"/>
    <w:rsid w:val="001062A9"/>
    <w:rsid w:val="00115776"/>
    <w:rsid w:val="00121287"/>
    <w:rsid w:val="0012703D"/>
    <w:rsid w:val="0014157C"/>
    <w:rsid w:val="001451F5"/>
    <w:rsid w:val="001503C8"/>
    <w:rsid w:val="00150BE8"/>
    <w:rsid w:val="001917E4"/>
    <w:rsid w:val="001926CA"/>
    <w:rsid w:val="0019400A"/>
    <w:rsid w:val="001948C6"/>
    <w:rsid w:val="001A0457"/>
    <w:rsid w:val="001A2D3F"/>
    <w:rsid w:val="001A5E77"/>
    <w:rsid w:val="001B4533"/>
    <w:rsid w:val="001C0571"/>
    <w:rsid w:val="001D2D05"/>
    <w:rsid w:val="001D31CA"/>
    <w:rsid w:val="001E5B6F"/>
    <w:rsid w:val="00221D38"/>
    <w:rsid w:val="00224DCB"/>
    <w:rsid w:val="0023136B"/>
    <w:rsid w:val="00236D2F"/>
    <w:rsid w:val="002426D9"/>
    <w:rsid w:val="002523E8"/>
    <w:rsid w:val="00252872"/>
    <w:rsid w:val="00266B41"/>
    <w:rsid w:val="00271BD0"/>
    <w:rsid w:val="00272154"/>
    <w:rsid w:val="00284F56"/>
    <w:rsid w:val="00290A4E"/>
    <w:rsid w:val="00292CAD"/>
    <w:rsid w:val="002A1164"/>
    <w:rsid w:val="002A1EE2"/>
    <w:rsid w:val="002A64DA"/>
    <w:rsid w:val="002B02D3"/>
    <w:rsid w:val="002B5FDE"/>
    <w:rsid w:val="002C7B9D"/>
    <w:rsid w:val="002D3B8A"/>
    <w:rsid w:val="002F0888"/>
    <w:rsid w:val="002F260E"/>
    <w:rsid w:val="002F38FC"/>
    <w:rsid w:val="0031002A"/>
    <w:rsid w:val="003158DD"/>
    <w:rsid w:val="00320E27"/>
    <w:rsid w:val="003213BB"/>
    <w:rsid w:val="00321C9E"/>
    <w:rsid w:val="0033052C"/>
    <w:rsid w:val="00333081"/>
    <w:rsid w:val="00340043"/>
    <w:rsid w:val="003439E3"/>
    <w:rsid w:val="00350C2B"/>
    <w:rsid w:val="00351178"/>
    <w:rsid w:val="00373CE3"/>
    <w:rsid w:val="00377AE5"/>
    <w:rsid w:val="0038263C"/>
    <w:rsid w:val="00383319"/>
    <w:rsid w:val="00383D52"/>
    <w:rsid w:val="00385E0F"/>
    <w:rsid w:val="00391001"/>
    <w:rsid w:val="003A318B"/>
    <w:rsid w:val="003B3A3A"/>
    <w:rsid w:val="003C29F2"/>
    <w:rsid w:val="003C46A7"/>
    <w:rsid w:val="003D1B37"/>
    <w:rsid w:val="003E58F9"/>
    <w:rsid w:val="003F2CC7"/>
    <w:rsid w:val="0040615D"/>
    <w:rsid w:val="0040730C"/>
    <w:rsid w:val="00413639"/>
    <w:rsid w:val="0041384F"/>
    <w:rsid w:val="004154B5"/>
    <w:rsid w:val="00425128"/>
    <w:rsid w:val="00430D2D"/>
    <w:rsid w:val="00460B98"/>
    <w:rsid w:val="00462776"/>
    <w:rsid w:val="00466157"/>
    <w:rsid w:val="0046719B"/>
    <w:rsid w:val="00477346"/>
    <w:rsid w:val="004939EA"/>
    <w:rsid w:val="004A4D92"/>
    <w:rsid w:val="004C3048"/>
    <w:rsid w:val="004D24BA"/>
    <w:rsid w:val="004D6C29"/>
    <w:rsid w:val="00513EC3"/>
    <w:rsid w:val="0051475A"/>
    <w:rsid w:val="0052062A"/>
    <w:rsid w:val="00521D74"/>
    <w:rsid w:val="00524E17"/>
    <w:rsid w:val="0053025B"/>
    <w:rsid w:val="00542213"/>
    <w:rsid w:val="00542F8D"/>
    <w:rsid w:val="0054438D"/>
    <w:rsid w:val="0056331D"/>
    <w:rsid w:val="00584CCB"/>
    <w:rsid w:val="00590149"/>
    <w:rsid w:val="00595E61"/>
    <w:rsid w:val="00596DA1"/>
    <w:rsid w:val="005A219C"/>
    <w:rsid w:val="005A265F"/>
    <w:rsid w:val="005A73CC"/>
    <w:rsid w:val="005B04CD"/>
    <w:rsid w:val="005B20E1"/>
    <w:rsid w:val="005B2E7B"/>
    <w:rsid w:val="005B3C1A"/>
    <w:rsid w:val="005B473D"/>
    <w:rsid w:val="005D1C14"/>
    <w:rsid w:val="005D3D4F"/>
    <w:rsid w:val="005E1D8A"/>
    <w:rsid w:val="00601538"/>
    <w:rsid w:val="00605D73"/>
    <w:rsid w:val="006147F3"/>
    <w:rsid w:val="00623953"/>
    <w:rsid w:val="0063098D"/>
    <w:rsid w:val="0063712A"/>
    <w:rsid w:val="00644B96"/>
    <w:rsid w:val="00644E37"/>
    <w:rsid w:val="00655804"/>
    <w:rsid w:val="00657CEE"/>
    <w:rsid w:val="00665D1A"/>
    <w:rsid w:val="00680568"/>
    <w:rsid w:val="00691C84"/>
    <w:rsid w:val="006A13F8"/>
    <w:rsid w:val="006A604D"/>
    <w:rsid w:val="006C5794"/>
    <w:rsid w:val="006C6F69"/>
    <w:rsid w:val="006C7BA9"/>
    <w:rsid w:val="006D3167"/>
    <w:rsid w:val="006D74CF"/>
    <w:rsid w:val="006E28E0"/>
    <w:rsid w:val="00703E79"/>
    <w:rsid w:val="0070512B"/>
    <w:rsid w:val="00720E12"/>
    <w:rsid w:val="00721CD2"/>
    <w:rsid w:val="00734CCB"/>
    <w:rsid w:val="007376CD"/>
    <w:rsid w:val="00737812"/>
    <w:rsid w:val="007615C2"/>
    <w:rsid w:val="00761AF9"/>
    <w:rsid w:val="00761F0E"/>
    <w:rsid w:val="00762598"/>
    <w:rsid w:val="00771E5B"/>
    <w:rsid w:val="00772F65"/>
    <w:rsid w:val="007733D7"/>
    <w:rsid w:val="00786A6F"/>
    <w:rsid w:val="007908B2"/>
    <w:rsid w:val="007A2D26"/>
    <w:rsid w:val="007B1376"/>
    <w:rsid w:val="007C39FD"/>
    <w:rsid w:val="007E39B3"/>
    <w:rsid w:val="007E71D6"/>
    <w:rsid w:val="00810649"/>
    <w:rsid w:val="00811DD4"/>
    <w:rsid w:val="00816715"/>
    <w:rsid w:val="0083222A"/>
    <w:rsid w:val="0084512F"/>
    <w:rsid w:val="00851881"/>
    <w:rsid w:val="00862484"/>
    <w:rsid w:val="008973DB"/>
    <w:rsid w:val="008A2CA3"/>
    <w:rsid w:val="008C1A58"/>
    <w:rsid w:val="008C7EAB"/>
    <w:rsid w:val="008D7AB0"/>
    <w:rsid w:val="008D7C37"/>
    <w:rsid w:val="008E636B"/>
    <w:rsid w:val="008F1AFE"/>
    <w:rsid w:val="008F6A17"/>
    <w:rsid w:val="00902EF7"/>
    <w:rsid w:val="0091350C"/>
    <w:rsid w:val="00917F09"/>
    <w:rsid w:val="00921C28"/>
    <w:rsid w:val="00924EFB"/>
    <w:rsid w:val="00925614"/>
    <w:rsid w:val="00940BCD"/>
    <w:rsid w:val="009429C5"/>
    <w:rsid w:val="0094636A"/>
    <w:rsid w:val="00950F47"/>
    <w:rsid w:val="009512D7"/>
    <w:rsid w:val="00955A3A"/>
    <w:rsid w:val="0096272F"/>
    <w:rsid w:val="00996D2D"/>
    <w:rsid w:val="009A0143"/>
    <w:rsid w:val="009A5C83"/>
    <w:rsid w:val="009A70D1"/>
    <w:rsid w:val="009B7E09"/>
    <w:rsid w:val="009D3648"/>
    <w:rsid w:val="009D3F0F"/>
    <w:rsid w:val="009D423F"/>
    <w:rsid w:val="009D53E0"/>
    <w:rsid w:val="009D741E"/>
    <w:rsid w:val="009E034C"/>
    <w:rsid w:val="009E15E6"/>
    <w:rsid w:val="009E6193"/>
    <w:rsid w:val="009F1240"/>
    <w:rsid w:val="009F32D3"/>
    <w:rsid w:val="009F4EEF"/>
    <w:rsid w:val="00A02D98"/>
    <w:rsid w:val="00A0559F"/>
    <w:rsid w:val="00A20578"/>
    <w:rsid w:val="00A353AF"/>
    <w:rsid w:val="00A4737B"/>
    <w:rsid w:val="00A5034B"/>
    <w:rsid w:val="00A83120"/>
    <w:rsid w:val="00A91223"/>
    <w:rsid w:val="00AA6B78"/>
    <w:rsid w:val="00AB06F2"/>
    <w:rsid w:val="00AB1918"/>
    <w:rsid w:val="00AD4340"/>
    <w:rsid w:val="00AD5428"/>
    <w:rsid w:val="00AE1E7C"/>
    <w:rsid w:val="00AE4357"/>
    <w:rsid w:val="00AE6CA3"/>
    <w:rsid w:val="00B14C24"/>
    <w:rsid w:val="00B31EE0"/>
    <w:rsid w:val="00B42393"/>
    <w:rsid w:val="00B50180"/>
    <w:rsid w:val="00B54AE4"/>
    <w:rsid w:val="00B703EA"/>
    <w:rsid w:val="00B70B9F"/>
    <w:rsid w:val="00B7120E"/>
    <w:rsid w:val="00B813A5"/>
    <w:rsid w:val="00B91286"/>
    <w:rsid w:val="00B96E83"/>
    <w:rsid w:val="00BB1F74"/>
    <w:rsid w:val="00BB7830"/>
    <w:rsid w:val="00BE1454"/>
    <w:rsid w:val="00BE7104"/>
    <w:rsid w:val="00BF3B42"/>
    <w:rsid w:val="00C609F2"/>
    <w:rsid w:val="00C624FC"/>
    <w:rsid w:val="00C65509"/>
    <w:rsid w:val="00C70771"/>
    <w:rsid w:val="00CB180A"/>
    <w:rsid w:val="00CC26DA"/>
    <w:rsid w:val="00CC2F0D"/>
    <w:rsid w:val="00CF1B3A"/>
    <w:rsid w:val="00D02857"/>
    <w:rsid w:val="00D037F9"/>
    <w:rsid w:val="00D11C89"/>
    <w:rsid w:val="00D212BC"/>
    <w:rsid w:val="00D30D4B"/>
    <w:rsid w:val="00D347D1"/>
    <w:rsid w:val="00D44FD7"/>
    <w:rsid w:val="00D64D3F"/>
    <w:rsid w:val="00D7002E"/>
    <w:rsid w:val="00D71345"/>
    <w:rsid w:val="00D80F57"/>
    <w:rsid w:val="00D94A46"/>
    <w:rsid w:val="00D966FC"/>
    <w:rsid w:val="00DB08AD"/>
    <w:rsid w:val="00DB2950"/>
    <w:rsid w:val="00DB3663"/>
    <w:rsid w:val="00DB4BF0"/>
    <w:rsid w:val="00DB695C"/>
    <w:rsid w:val="00DB6EB9"/>
    <w:rsid w:val="00DC27F7"/>
    <w:rsid w:val="00DD256C"/>
    <w:rsid w:val="00DD7E96"/>
    <w:rsid w:val="00E04F92"/>
    <w:rsid w:val="00E05748"/>
    <w:rsid w:val="00E134DA"/>
    <w:rsid w:val="00E27784"/>
    <w:rsid w:val="00E27D97"/>
    <w:rsid w:val="00E3066E"/>
    <w:rsid w:val="00E35120"/>
    <w:rsid w:val="00E359D8"/>
    <w:rsid w:val="00E5745F"/>
    <w:rsid w:val="00E63277"/>
    <w:rsid w:val="00E63CA2"/>
    <w:rsid w:val="00E66B52"/>
    <w:rsid w:val="00E8570A"/>
    <w:rsid w:val="00E9455B"/>
    <w:rsid w:val="00E96914"/>
    <w:rsid w:val="00EB27BC"/>
    <w:rsid w:val="00EC2823"/>
    <w:rsid w:val="00ED3A7F"/>
    <w:rsid w:val="00EE5E8B"/>
    <w:rsid w:val="00EF4B10"/>
    <w:rsid w:val="00EF782E"/>
    <w:rsid w:val="00EF7E56"/>
    <w:rsid w:val="00F12B2C"/>
    <w:rsid w:val="00F3123B"/>
    <w:rsid w:val="00F52E14"/>
    <w:rsid w:val="00F865B2"/>
    <w:rsid w:val="00F9119A"/>
    <w:rsid w:val="00FA1CE4"/>
    <w:rsid w:val="00FB19E0"/>
    <w:rsid w:val="00FB6C2B"/>
    <w:rsid w:val="00FC6FE6"/>
    <w:rsid w:val="00FD11B9"/>
    <w:rsid w:val="00FD6379"/>
    <w:rsid w:val="00FE254F"/>
    <w:rsid w:val="00FE7F39"/>
    <w:rsid w:val="00FF1C58"/>
    <w:rsid w:val="00FF3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098C2"/>
  <w15:chartTrackingRefBased/>
  <w15:docId w15:val="{CBAB3883-1B54-468C-8013-10CD28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0E"/>
    <w:pPr>
      <w:ind w:leftChars="200" w:left="480"/>
    </w:pPr>
  </w:style>
  <w:style w:type="paragraph" w:styleId="a4">
    <w:name w:val="header"/>
    <w:basedOn w:val="a"/>
    <w:link w:val="a5"/>
    <w:uiPriority w:val="99"/>
    <w:unhideWhenUsed/>
    <w:rsid w:val="003B3A3A"/>
    <w:pPr>
      <w:tabs>
        <w:tab w:val="center" w:pos="4153"/>
        <w:tab w:val="right" w:pos="8306"/>
      </w:tabs>
      <w:snapToGrid w:val="0"/>
    </w:pPr>
    <w:rPr>
      <w:sz w:val="20"/>
      <w:szCs w:val="20"/>
    </w:rPr>
  </w:style>
  <w:style w:type="character" w:customStyle="1" w:styleId="a5">
    <w:name w:val="頁首 字元"/>
    <w:basedOn w:val="a0"/>
    <w:link w:val="a4"/>
    <w:uiPriority w:val="99"/>
    <w:rsid w:val="003B3A3A"/>
    <w:rPr>
      <w:sz w:val="20"/>
      <w:szCs w:val="20"/>
    </w:rPr>
  </w:style>
  <w:style w:type="paragraph" w:styleId="a6">
    <w:name w:val="footer"/>
    <w:basedOn w:val="a"/>
    <w:link w:val="a7"/>
    <w:uiPriority w:val="99"/>
    <w:unhideWhenUsed/>
    <w:rsid w:val="003B3A3A"/>
    <w:pPr>
      <w:tabs>
        <w:tab w:val="center" w:pos="4153"/>
        <w:tab w:val="right" w:pos="8306"/>
      </w:tabs>
      <w:snapToGrid w:val="0"/>
    </w:pPr>
    <w:rPr>
      <w:sz w:val="20"/>
      <w:szCs w:val="20"/>
    </w:rPr>
  </w:style>
  <w:style w:type="character" w:customStyle="1" w:styleId="a7">
    <w:name w:val="頁尾 字元"/>
    <w:basedOn w:val="a0"/>
    <w:link w:val="a6"/>
    <w:uiPriority w:val="99"/>
    <w:rsid w:val="003B3A3A"/>
    <w:rPr>
      <w:sz w:val="20"/>
      <w:szCs w:val="20"/>
    </w:rPr>
  </w:style>
  <w:style w:type="paragraph" w:styleId="a8">
    <w:name w:val="Balloon Text"/>
    <w:basedOn w:val="a"/>
    <w:link w:val="a9"/>
    <w:uiPriority w:val="99"/>
    <w:semiHidden/>
    <w:unhideWhenUsed/>
    <w:rsid w:val="0094636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4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B733-35A2-4EFD-ABDA-9F25FD63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劉哲光</dc:creator>
  <cp:keywords/>
  <dc:description/>
  <cp:lastModifiedBy>謝慧穎(事業發展部,專員)</cp:lastModifiedBy>
  <cp:revision>4</cp:revision>
  <cp:lastPrinted>2022-10-04T02:07:00Z</cp:lastPrinted>
  <dcterms:created xsi:type="dcterms:W3CDTF">2023-07-24T08:09:00Z</dcterms:created>
  <dcterms:modified xsi:type="dcterms:W3CDTF">2023-07-24T08:10:00Z</dcterms:modified>
</cp:coreProperties>
</file>