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573" w:rsidRPr="006D63FD" w:rsidRDefault="00210DD0" w:rsidP="00D22573">
      <w:pPr>
        <w:pStyle w:val="1"/>
        <w:spacing w:line="508" w:lineRule="exact"/>
        <w:ind w:left="0" w:right="0"/>
        <w:rPr>
          <w:rFonts w:ascii="Arial" w:eastAsia="標楷體" w:hAnsi="Arial" w:cs="Arial"/>
          <w:lang w:val="en-US"/>
        </w:rPr>
      </w:pPr>
      <w:r w:rsidRPr="006D63FD">
        <w:rPr>
          <w:rFonts w:ascii="Times New Roman" w:eastAsia="Times New Roman" w:hAnsi="Times New Roman" w:cs="Times New Roman"/>
          <w:lang w:val="en-US"/>
        </w:rPr>
        <w:t>Mega Financial Holding Company Ltd.</w:t>
      </w:r>
    </w:p>
    <w:p w:rsidR="00D22573" w:rsidRPr="006D63FD" w:rsidRDefault="00210DD0" w:rsidP="00437D93">
      <w:pPr>
        <w:pStyle w:val="Default"/>
        <w:spacing w:afterLines="50" w:after="180"/>
        <w:jc w:val="center"/>
        <w:rPr>
          <w:rFonts w:ascii="Arial" w:hAnsi="Arial" w:cs="Arial"/>
          <w:b/>
          <w:color w:val="auto"/>
          <w:sz w:val="32"/>
        </w:rPr>
      </w:pPr>
      <w:r w:rsidRPr="006D63FD">
        <w:rPr>
          <w:rFonts w:ascii="Times New Roman" w:eastAsia="Times New Roman" w:hAnsi="Times New Roman" w:cs="Times New Roman"/>
          <w:b/>
          <w:bCs/>
          <w:color w:val="auto"/>
          <w:sz w:val="32"/>
          <w:szCs w:val="32"/>
        </w:rPr>
        <w:t>Sustainable Finance Policy</w:t>
      </w:r>
    </w:p>
    <w:p w:rsidR="00437D93" w:rsidRPr="00A34E74" w:rsidRDefault="00437D93" w:rsidP="00437D93">
      <w:pPr>
        <w:pStyle w:val="Default"/>
        <w:jc w:val="right"/>
        <w:rPr>
          <w:rFonts w:ascii="Times New Roman" w:eastAsiaTheme="minorEastAsia" w:hAnsi="Times New Roman" w:cs="Times New Roman"/>
          <w:color w:val="auto"/>
          <w:sz w:val="20"/>
          <w:szCs w:val="20"/>
        </w:rPr>
      </w:pPr>
    </w:p>
    <w:p w:rsidR="00D22573" w:rsidRPr="006D63FD" w:rsidRDefault="00210DD0" w:rsidP="00D22573">
      <w:pPr>
        <w:pStyle w:val="Default"/>
        <w:rPr>
          <w:rFonts w:ascii="Arial" w:hAnsi="Arial" w:cs="Arial"/>
          <w:color w:val="auto"/>
        </w:rPr>
      </w:pPr>
      <w:r w:rsidRPr="006D63FD">
        <w:rPr>
          <w:rFonts w:ascii="Times New Roman" w:eastAsia="Times New Roman" w:hAnsi="Times New Roman" w:cs="Times New Roman"/>
          <w:color w:val="auto"/>
        </w:rPr>
        <w:t>Article 1</w:t>
      </w:r>
      <w:r w:rsidRPr="00A34E74">
        <w:rPr>
          <w:rFonts w:asciiTheme="minorEastAsia" w:eastAsiaTheme="minorEastAsia" w:hAnsiTheme="minorEastAsia" w:cs="Times New Roman"/>
          <w:color w:val="FF0000"/>
        </w:rPr>
        <w:t xml:space="preserve"> </w:t>
      </w:r>
      <w:r w:rsidR="00330C27" w:rsidRPr="00A34E74">
        <w:rPr>
          <w:rFonts w:asciiTheme="minorEastAsia" w:eastAsiaTheme="minorEastAsia" w:hAnsiTheme="minorEastAsia" w:cs="Times New Roman" w:hint="eastAsia"/>
          <w:color w:val="000000" w:themeColor="text1"/>
        </w:rPr>
        <w:t>(</w:t>
      </w:r>
      <w:r w:rsidRPr="00A34E74">
        <w:rPr>
          <w:rFonts w:ascii="Times New Roman" w:eastAsia="Times New Roman" w:hAnsi="Times New Roman" w:cs="Times New Roman"/>
          <w:color w:val="000000" w:themeColor="text1"/>
        </w:rPr>
        <w:t>Purpose</w:t>
      </w:r>
      <w:r w:rsidR="00330C27" w:rsidRPr="00A34E74">
        <w:rPr>
          <w:rFonts w:asciiTheme="minorEastAsia" w:eastAsiaTheme="minorEastAsia" w:hAnsiTheme="minorEastAsia" w:cs="Times New Roman" w:hint="eastAsia"/>
          <w:color w:val="000000" w:themeColor="text1"/>
        </w:rPr>
        <w:t xml:space="preserve"> </w:t>
      </w:r>
      <w:r w:rsidR="00330C27" w:rsidRPr="00A34E74">
        <w:rPr>
          <w:rFonts w:ascii="Times New Roman" w:eastAsia="Times New Roman" w:hAnsi="Times New Roman" w:cs="Times New Roman" w:hint="eastAsia"/>
          <w:color w:val="000000" w:themeColor="text1"/>
        </w:rPr>
        <w:t>a</w:t>
      </w:r>
      <w:r w:rsidR="00330C27" w:rsidRPr="00A34E74">
        <w:rPr>
          <w:rFonts w:ascii="Times New Roman" w:eastAsia="Times New Roman" w:hAnsi="Times New Roman" w:cs="Times New Roman"/>
          <w:color w:val="000000" w:themeColor="text1"/>
        </w:rPr>
        <w:t>nd Basis</w:t>
      </w:r>
      <w:r w:rsidR="00330C27" w:rsidRPr="00A34E74">
        <w:rPr>
          <w:rFonts w:hint="eastAsia"/>
          <w:color w:val="000000" w:themeColor="text1"/>
        </w:rPr>
        <w:t>)</w:t>
      </w:r>
    </w:p>
    <w:p w:rsidR="00D22573" w:rsidRPr="006D63FD" w:rsidRDefault="00210DD0" w:rsidP="00D22573">
      <w:pPr>
        <w:pStyle w:val="Default"/>
        <w:spacing w:afterLines="50" w:after="180"/>
        <w:ind w:left="480"/>
        <w:rPr>
          <w:rFonts w:ascii="Arial" w:hAnsi="Arial" w:cs="Arial"/>
          <w:color w:val="auto"/>
        </w:rPr>
      </w:pPr>
      <w:r w:rsidRPr="006D63FD">
        <w:rPr>
          <w:rFonts w:ascii="Times New Roman" w:eastAsia="Times New Roman" w:hAnsi="Times New Roman" w:cs="Times New Roman"/>
          <w:color w:val="auto"/>
        </w:rPr>
        <w:t xml:space="preserve">In order for Mega Financial Holding Company Ltd. to pursue the sustainable growth of the group and construct a blueprint for sustainable development, lead the Company and its subsidiaries in developing a business model that encompasses both economic growth and environmental protection, conform to the Sustainable Development Goals (SDGs) of the United Nations, and follow the international sustainable finance initiative and the relevant green finance policies </w:t>
      </w:r>
      <w:r w:rsidR="00222EC7" w:rsidRPr="006D63FD">
        <w:rPr>
          <w:rFonts w:ascii="Times New Roman" w:eastAsia="新細明體" w:hAnsi="Times New Roman" w:cs="Times New Roman" w:hint="cs"/>
          <w:color w:val="auto"/>
        </w:rPr>
        <w:t>p</w:t>
      </w:r>
      <w:r w:rsidR="00222EC7" w:rsidRPr="006D63FD">
        <w:rPr>
          <w:rFonts w:ascii="Times New Roman" w:eastAsia="新細明體" w:hAnsi="Times New Roman" w:cs="Times New Roman"/>
          <w:color w:val="auto"/>
        </w:rPr>
        <w:t>romoted by the regulators</w:t>
      </w:r>
      <w:r w:rsidRPr="006D63FD">
        <w:rPr>
          <w:rFonts w:ascii="Times New Roman" w:eastAsia="Times New Roman" w:hAnsi="Times New Roman" w:cs="Times New Roman"/>
          <w:color w:val="auto"/>
        </w:rPr>
        <w:t xml:space="preserve">, the Company </w:t>
      </w:r>
      <w:r w:rsidR="006F711B" w:rsidRPr="006D63FD">
        <w:rPr>
          <w:rFonts w:ascii="Times New Roman" w:eastAsia="Times New Roman" w:hAnsi="Times New Roman" w:cs="Times New Roman"/>
          <w:color w:val="auto"/>
        </w:rPr>
        <w:t>specifically</w:t>
      </w:r>
      <w:r w:rsidRPr="006D63FD">
        <w:rPr>
          <w:rFonts w:ascii="Times New Roman" w:eastAsia="Times New Roman" w:hAnsi="Times New Roman" w:cs="Times New Roman"/>
          <w:color w:val="auto"/>
        </w:rPr>
        <w:t xml:space="preserve"> formulates this policy </w:t>
      </w:r>
      <w:r w:rsidR="00DE214E" w:rsidRPr="006D63FD">
        <w:rPr>
          <w:rFonts w:ascii="Times New Roman" w:eastAsia="Times New Roman" w:hAnsi="Times New Roman" w:cs="Times New Roman"/>
          <w:color w:val="auto"/>
        </w:rPr>
        <w:t xml:space="preserve">demonstrating how leading financial institution can leverage its core business </w:t>
      </w:r>
      <w:r w:rsidRPr="006D63FD">
        <w:rPr>
          <w:rFonts w:ascii="Times New Roman" w:eastAsia="Times New Roman" w:hAnsi="Times New Roman" w:cs="Times New Roman"/>
          <w:color w:val="auto"/>
        </w:rPr>
        <w:t>to express the positive influence of a sustainable society and realize corporate social responsibility, improve financial inclusion, and foster the development and innovation of low-carbon economic industries.</w:t>
      </w:r>
    </w:p>
    <w:p w:rsidR="00D22573" w:rsidRPr="00A34E74" w:rsidRDefault="00210DD0" w:rsidP="00D22573">
      <w:pPr>
        <w:pStyle w:val="Default"/>
        <w:rPr>
          <w:rFonts w:ascii="Arial" w:hAnsi="Arial" w:cs="Arial"/>
          <w:color w:val="000000" w:themeColor="text1"/>
        </w:rPr>
      </w:pPr>
      <w:r w:rsidRPr="006D63FD">
        <w:rPr>
          <w:rFonts w:ascii="Times New Roman" w:eastAsia="Times New Roman" w:hAnsi="Times New Roman" w:cs="Times New Roman"/>
          <w:color w:val="auto"/>
        </w:rPr>
        <w:t>Article 2</w:t>
      </w:r>
      <w:r w:rsidRPr="00A34E74">
        <w:rPr>
          <w:rFonts w:ascii="Times New Roman" w:eastAsia="Times New Roman" w:hAnsi="Times New Roman" w:cs="Times New Roman"/>
          <w:color w:val="000000" w:themeColor="text1"/>
        </w:rPr>
        <w:t xml:space="preserve"> </w:t>
      </w:r>
      <w:r w:rsidR="00330C27" w:rsidRPr="00A34E74">
        <w:rPr>
          <w:rFonts w:ascii="Times New Roman" w:eastAsia="Times New Roman" w:hAnsi="Times New Roman" w:cs="Times New Roman" w:hint="eastAsia"/>
          <w:color w:val="000000" w:themeColor="text1"/>
        </w:rPr>
        <w:t>(</w:t>
      </w:r>
      <w:r w:rsidRPr="00A34E74">
        <w:rPr>
          <w:rFonts w:ascii="Times New Roman" w:eastAsia="Times New Roman" w:hAnsi="Times New Roman" w:cs="Times New Roman"/>
          <w:color w:val="000000" w:themeColor="text1"/>
        </w:rPr>
        <w:t>Responsible department</w:t>
      </w:r>
      <w:r w:rsidR="00330C27" w:rsidRPr="00A34E74">
        <w:rPr>
          <w:rFonts w:asciiTheme="minorEastAsia" w:eastAsiaTheme="minorEastAsia" w:hAnsiTheme="minorEastAsia" w:cs="Times New Roman" w:hint="eastAsia"/>
          <w:color w:val="000000" w:themeColor="text1"/>
        </w:rPr>
        <w:t>)</w:t>
      </w:r>
    </w:p>
    <w:p w:rsidR="00D22573" w:rsidRPr="00A34E74" w:rsidRDefault="00210DD0" w:rsidP="00D22573">
      <w:pPr>
        <w:pStyle w:val="Default"/>
        <w:spacing w:afterLines="50" w:after="180"/>
        <w:ind w:firstLine="480"/>
        <w:rPr>
          <w:rFonts w:ascii="Arial" w:hAnsi="Arial" w:cs="Arial"/>
          <w:color w:val="000000" w:themeColor="text1"/>
        </w:rPr>
      </w:pPr>
      <w:r w:rsidRPr="00A34E74">
        <w:rPr>
          <w:rFonts w:ascii="Times New Roman" w:eastAsia="Times New Roman" w:hAnsi="Times New Roman" w:cs="Times New Roman"/>
          <w:color w:val="000000" w:themeColor="text1"/>
        </w:rPr>
        <w:t>The department responsible for this policy is the Business Development Department.</w:t>
      </w:r>
    </w:p>
    <w:p w:rsidR="00D22573" w:rsidRPr="00A34E74" w:rsidRDefault="00210DD0" w:rsidP="00D22573">
      <w:pPr>
        <w:pStyle w:val="Default"/>
        <w:rPr>
          <w:rFonts w:ascii="Arial" w:hAnsi="Arial" w:cs="Arial"/>
          <w:color w:val="000000" w:themeColor="text1"/>
        </w:rPr>
      </w:pPr>
      <w:r w:rsidRPr="00A34E74">
        <w:rPr>
          <w:rFonts w:ascii="Times New Roman" w:eastAsia="Times New Roman" w:hAnsi="Times New Roman" w:cs="Times New Roman"/>
          <w:color w:val="000000" w:themeColor="text1"/>
        </w:rPr>
        <w:t xml:space="preserve">Article 3 </w:t>
      </w:r>
      <w:r w:rsidR="00330C27" w:rsidRPr="00A34E74">
        <w:rPr>
          <w:rFonts w:ascii="Times New Roman" w:eastAsia="Times New Roman" w:hAnsi="Times New Roman" w:cs="Times New Roman" w:hint="eastAsia"/>
          <w:color w:val="000000" w:themeColor="text1"/>
        </w:rPr>
        <w:t>(</w:t>
      </w:r>
      <w:r w:rsidRPr="00A34E74">
        <w:rPr>
          <w:rFonts w:ascii="Times New Roman" w:eastAsia="Times New Roman" w:hAnsi="Times New Roman" w:cs="Times New Roman"/>
          <w:color w:val="000000" w:themeColor="text1"/>
        </w:rPr>
        <w:t>Applicable parties</w:t>
      </w:r>
      <w:r w:rsidR="00330C27" w:rsidRPr="00A34E74">
        <w:rPr>
          <w:rFonts w:asciiTheme="minorEastAsia" w:eastAsiaTheme="minorEastAsia" w:hAnsiTheme="minorEastAsia" w:cs="Times New Roman" w:hint="eastAsia"/>
          <w:color w:val="000000" w:themeColor="text1"/>
        </w:rPr>
        <w:t>)</w:t>
      </w:r>
    </w:p>
    <w:p w:rsidR="00D22573" w:rsidRPr="00A34E74" w:rsidRDefault="00210DD0" w:rsidP="00D22573">
      <w:pPr>
        <w:pStyle w:val="Default"/>
        <w:ind w:left="482"/>
        <w:rPr>
          <w:rFonts w:ascii="Arial" w:hAnsi="Arial" w:cs="Arial"/>
          <w:color w:val="000000" w:themeColor="text1"/>
        </w:rPr>
      </w:pPr>
      <w:r w:rsidRPr="00A34E74">
        <w:rPr>
          <w:rFonts w:ascii="Times New Roman" w:eastAsia="Times New Roman" w:hAnsi="Times New Roman" w:cs="Times New Roman"/>
          <w:color w:val="000000" w:themeColor="text1"/>
        </w:rPr>
        <w:t>This policy applies to the Company and its subsidiaries.</w:t>
      </w:r>
    </w:p>
    <w:p w:rsidR="00D22573" w:rsidRPr="00A34E74" w:rsidRDefault="00210DD0" w:rsidP="00D22573">
      <w:pPr>
        <w:pStyle w:val="Default"/>
        <w:ind w:left="482"/>
        <w:rPr>
          <w:rFonts w:ascii="Arial" w:hAnsi="Arial" w:cs="Arial"/>
          <w:color w:val="000000" w:themeColor="text1"/>
        </w:rPr>
      </w:pPr>
      <w:r w:rsidRPr="00A34E74">
        <w:rPr>
          <w:rFonts w:ascii="Times New Roman" w:eastAsia="Times New Roman" w:hAnsi="Times New Roman" w:cs="Times New Roman"/>
          <w:color w:val="000000" w:themeColor="text1"/>
        </w:rPr>
        <w:t xml:space="preserve">Subsidiaries mentioned in the preceding paragraph refer to other companies directly invested in by the Company and for which it holds more than 50% of the total issued voting shares or total capital, or for which more than half of its directors are directly </w:t>
      </w:r>
      <w:r w:rsidR="00F02156" w:rsidRPr="00A34E74">
        <w:rPr>
          <w:rFonts w:ascii="Times New Roman" w:eastAsia="Times New Roman" w:hAnsi="Times New Roman" w:cs="Times New Roman"/>
          <w:color w:val="000000" w:themeColor="text1"/>
        </w:rPr>
        <w:t>appointed</w:t>
      </w:r>
      <w:r w:rsidRPr="00A34E74">
        <w:rPr>
          <w:rFonts w:ascii="Times New Roman" w:eastAsia="Times New Roman" w:hAnsi="Times New Roman" w:cs="Times New Roman"/>
          <w:color w:val="000000" w:themeColor="text1"/>
        </w:rPr>
        <w:t xml:space="preserve"> by the Company.</w:t>
      </w:r>
    </w:p>
    <w:p w:rsidR="00D22573" w:rsidRPr="00A34E74" w:rsidRDefault="00210DD0" w:rsidP="00D22573">
      <w:pPr>
        <w:pStyle w:val="Default"/>
        <w:rPr>
          <w:rFonts w:ascii="Arial" w:hAnsi="Arial" w:cs="Arial"/>
          <w:color w:val="000000" w:themeColor="text1"/>
        </w:rPr>
      </w:pPr>
      <w:r w:rsidRPr="00A34E74">
        <w:rPr>
          <w:rFonts w:ascii="Times New Roman" w:eastAsia="Times New Roman" w:hAnsi="Times New Roman" w:cs="Times New Roman"/>
          <w:color w:val="000000" w:themeColor="text1"/>
        </w:rPr>
        <w:t xml:space="preserve">Article 4 </w:t>
      </w:r>
      <w:r w:rsidR="00330C27" w:rsidRPr="00A34E74">
        <w:rPr>
          <w:rFonts w:ascii="Times New Roman" w:eastAsia="Times New Roman" w:hAnsi="Times New Roman" w:cs="Times New Roman"/>
          <w:color w:val="000000" w:themeColor="text1"/>
        </w:rPr>
        <w:t>(</w:t>
      </w:r>
      <w:r w:rsidRPr="00A34E74">
        <w:rPr>
          <w:rFonts w:ascii="Times New Roman" w:eastAsia="Times New Roman" w:hAnsi="Times New Roman" w:cs="Times New Roman"/>
          <w:color w:val="000000" w:themeColor="text1"/>
        </w:rPr>
        <w:t>Compliance</w:t>
      </w:r>
      <w:r w:rsidR="00330C27" w:rsidRPr="00A34E74">
        <w:rPr>
          <w:rFonts w:ascii="Times New Roman" w:eastAsia="Times New Roman" w:hAnsi="Times New Roman" w:cs="Times New Roman"/>
          <w:color w:val="000000" w:themeColor="text1"/>
        </w:rPr>
        <w:t>)</w:t>
      </w:r>
    </w:p>
    <w:p w:rsidR="00330C27" w:rsidRPr="00A34E74" w:rsidRDefault="00210DD0" w:rsidP="00330C27">
      <w:pPr>
        <w:widowControl/>
        <w:shd w:val="clear" w:color="auto" w:fill="FDFDFD"/>
        <w:rPr>
          <w:rFonts w:ascii="Segoe UI" w:eastAsia="新細明體" w:hAnsi="Segoe UI" w:cs="Segoe UI"/>
          <w:color w:val="000000" w:themeColor="text1"/>
          <w:kern w:val="0"/>
          <w:sz w:val="21"/>
          <w:szCs w:val="21"/>
          <w:lang w:val="en" w:eastAsia="zh-Hans"/>
        </w:rPr>
      </w:pPr>
      <w:r w:rsidRPr="00A34E74">
        <w:rPr>
          <w:rFonts w:ascii="Times New Roman" w:eastAsia="Times New Roman" w:hAnsi="Times New Roman" w:cs="Times New Roman"/>
          <w:color w:val="000000" w:themeColor="text1"/>
        </w:rPr>
        <w:t xml:space="preserve">The Company’s and its subsidiaries’ credit, investment, and insurance underwriting and ruling processes and product review management mechanisms shall be based on the sustainable financial scope and classifications defined by the </w:t>
      </w:r>
      <w:r w:rsidR="00F02156" w:rsidRPr="00A34E74">
        <w:rPr>
          <w:rFonts w:ascii="Times New Roman" w:eastAsia="Times New Roman" w:hAnsi="Times New Roman" w:cs="Times New Roman"/>
          <w:color w:val="000000" w:themeColor="text1"/>
        </w:rPr>
        <w:t>regulator</w:t>
      </w:r>
      <w:r w:rsidRPr="00A34E74">
        <w:rPr>
          <w:rFonts w:ascii="Times New Roman" w:eastAsia="Times New Roman" w:hAnsi="Times New Roman" w:cs="Times New Roman"/>
          <w:color w:val="000000" w:themeColor="text1"/>
        </w:rPr>
        <w:t xml:space="preserve"> and be with reference to the relevant domestic and foreign sustainability standards, such as the Institutional Investor Stewardship Principles, the Bankers Association’s Credit Regulations, the FSC’s Green Finance Action Plan, the Equator Principles (EP), the Principals for Responsible Investment (PRI), the Principles for Sustainable Insurance (PSI), and the Principles for Responsible Banking (PRB), as well as other environmental, social, and governance principles, standards, and guidelines such as the IFC Performance Standards &amp; EHS Guidelines</w:t>
      </w:r>
      <w:r w:rsidR="00330C27" w:rsidRPr="00A34E74">
        <w:rPr>
          <w:rFonts w:ascii="新細明體" w:eastAsia="新細明體" w:hAnsi="新細明體" w:cs="新細明體"/>
          <w:color w:val="000000" w:themeColor="text1"/>
        </w:rPr>
        <w:t xml:space="preserve">, </w:t>
      </w:r>
      <w:r w:rsidRPr="00A34E74">
        <w:rPr>
          <w:rFonts w:ascii="Times New Roman" w:eastAsia="Times New Roman" w:hAnsi="Times New Roman" w:cs="Times New Roman"/>
          <w:color w:val="000000" w:themeColor="text1"/>
        </w:rPr>
        <w:t>IFC Exclusion List</w:t>
      </w:r>
      <w:r w:rsidR="00330C27" w:rsidRPr="00A34E74">
        <w:rPr>
          <w:rFonts w:ascii="Times New Roman" w:eastAsia="Times New Roman" w:hAnsi="Times New Roman" w:cs="Times New Roman"/>
          <w:color w:val="000000" w:themeColor="text1"/>
        </w:rPr>
        <w:t xml:space="preserve"> and United Nations Convention on Biological Diversity</w:t>
      </w:r>
      <w:r w:rsidR="00EC2E46" w:rsidRPr="00A34E74">
        <w:rPr>
          <w:rFonts w:ascii="Times New Roman" w:eastAsia="Times New Roman" w:hAnsi="Times New Roman" w:cs="Times New Roman"/>
          <w:color w:val="000000" w:themeColor="text1"/>
        </w:rPr>
        <w:t>(CBD)</w:t>
      </w:r>
      <w:r w:rsidR="00330C27" w:rsidRPr="00A34E74">
        <w:rPr>
          <w:rFonts w:ascii="Times New Roman" w:eastAsia="Times New Roman" w:hAnsi="Times New Roman" w:cs="Times New Roman"/>
          <w:color w:val="000000" w:themeColor="text1"/>
        </w:rPr>
        <w:t>.</w:t>
      </w:r>
    </w:p>
    <w:p w:rsidR="00D22573" w:rsidRPr="00A34E74" w:rsidRDefault="00210DD0" w:rsidP="00D22573">
      <w:pPr>
        <w:pStyle w:val="Default"/>
        <w:spacing w:afterLines="50" w:after="180"/>
        <w:ind w:left="482"/>
        <w:rPr>
          <w:rFonts w:ascii="Arial" w:hAnsi="Arial" w:cs="Arial"/>
          <w:color w:val="000000" w:themeColor="text1"/>
        </w:rPr>
      </w:pPr>
      <w:r w:rsidRPr="00A34E74">
        <w:rPr>
          <w:rFonts w:ascii="Times New Roman" w:eastAsia="Times New Roman" w:hAnsi="Times New Roman" w:cs="Times New Roman"/>
          <w:color w:val="000000" w:themeColor="text1"/>
        </w:rPr>
        <w:t xml:space="preserve">In addition to the </w:t>
      </w:r>
      <w:proofErr w:type="gramStart"/>
      <w:r w:rsidRPr="00A34E74">
        <w:rPr>
          <w:rFonts w:ascii="Times New Roman" w:eastAsia="Times New Roman" w:hAnsi="Times New Roman" w:cs="Times New Roman"/>
          <w:color w:val="000000" w:themeColor="text1"/>
        </w:rPr>
        <w:t>aforementioned principles</w:t>
      </w:r>
      <w:proofErr w:type="gramEnd"/>
      <w:r w:rsidRPr="00A34E74">
        <w:rPr>
          <w:rFonts w:ascii="Times New Roman" w:eastAsia="Times New Roman" w:hAnsi="Times New Roman" w:cs="Times New Roman"/>
          <w:color w:val="000000" w:themeColor="text1"/>
        </w:rPr>
        <w:t xml:space="preserve">, standards, and guidelines, the </w:t>
      </w:r>
      <w:r w:rsidRPr="00A34E74">
        <w:rPr>
          <w:rFonts w:ascii="Times New Roman" w:eastAsia="Times New Roman" w:hAnsi="Times New Roman" w:cs="Times New Roman"/>
          <w:color w:val="000000" w:themeColor="text1"/>
        </w:rPr>
        <w:lastRenderedPageBreak/>
        <w:t>Company and its subsidiaries’ overseas branches shall also comply with local laws and regulations as well as the sustainable financial requirements of the supervisory authority.</w:t>
      </w:r>
    </w:p>
    <w:p w:rsidR="00D22573" w:rsidRPr="00A34E74" w:rsidRDefault="00210DD0" w:rsidP="00D22573">
      <w:pPr>
        <w:pStyle w:val="Default"/>
        <w:rPr>
          <w:rFonts w:ascii="Arial" w:hAnsi="Arial" w:cs="Arial"/>
          <w:color w:val="000000" w:themeColor="text1"/>
        </w:rPr>
      </w:pPr>
      <w:r w:rsidRPr="00A34E74">
        <w:rPr>
          <w:rFonts w:ascii="Times New Roman" w:eastAsia="Times New Roman" w:hAnsi="Times New Roman" w:cs="Times New Roman"/>
          <w:color w:val="000000" w:themeColor="text1"/>
        </w:rPr>
        <w:t xml:space="preserve">Article 5 </w:t>
      </w:r>
      <w:r w:rsidR="008216D3" w:rsidRPr="00A34E74">
        <w:rPr>
          <w:rFonts w:ascii="Times New Roman" w:eastAsia="Times New Roman" w:hAnsi="Times New Roman" w:cs="Times New Roman"/>
          <w:color w:val="000000" w:themeColor="text1"/>
        </w:rPr>
        <w:t>(</w:t>
      </w:r>
      <w:r w:rsidRPr="00A34E74">
        <w:rPr>
          <w:rFonts w:ascii="Times New Roman" w:eastAsia="Times New Roman" w:hAnsi="Times New Roman" w:cs="Times New Roman"/>
          <w:color w:val="000000" w:themeColor="text1"/>
        </w:rPr>
        <w:t>Implementation principles</w:t>
      </w:r>
      <w:r w:rsidR="008216D3" w:rsidRPr="00A34E74">
        <w:rPr>
          <w:rFonts w:ascii="Times New Roman" w:eastAsia="Times New Roman" w:hAnsi="Times New Roman" w:cs="Times New Roman"/>
          <w:color w:val="000000" w:themeColor="text1"/>
        </w:rPr>
        <w:t>)</w:t>
      </w:r>
    </w:p>
    <w:p w:rsidR="00D22573" w:rsidRPr="00A34E74" w:rsidRDefault="00210DD0" w:rsidP="00D22573">
      <w:pPr>
        <w:autoSpaceDE w:val="0"/>
        <w:autoSpaceDN w:val="0"/>
        <w:adjustRightInd w:val="0"/>
        <w:ind w:leftChars="200" w:left="480"/>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The policy implementation principles are as follows:</w:t>
      </w:r>
    </w:p>
    <w:p w:rsidR="00D22573" w:rsidRPr="00A34E74" w:rsidRDefault="00210DD0" w:rsidP="00D22573">
      <w:pPr>
        <w:autoSpaceDE w:val="0"/>
        <w:autoSpaceDN w:val="0"/>
        <w:adjustRightInd w:val="0"/>
        <w:ind w:leftChars="200" w:left="480"/>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1. Sustainable financial products/services</w:t>
      </w:r>
    </w:p>
    <w:p w:rsidR="00D22573" w:rsidRPr="00A34E74" w:rsidRDefault="00210DD0" w:rsidP="00D22573">
      <w:pPr>
        <w:autoSpaceDE w:val="0"/>
        <w:autoSpaceDN w:val="0"/>
        <w:adjustRightInd w:val="0"/>
        <w:spacing w:afterLines="50" w:after="180"/>
        <w:ind w:leftChars="500" w:left="1200"/>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To adapt to the development trends and classification principles of international sustainable finance initiatives and green finance and inclusive finance related policies set forth by the competent authority, we encourage the group’s companies to offer low-carbon credit, investment, insurance underwriting, and related sustainable financial products, support companies with environmental protection, social responsibility, or sustainable governance, and assist customers in developing green energy industries and transforming into green economies in order to build a sustainable society.</w:t>
      </w:r>
    </w:p>
    <w:p w:rsidR="00D22573" w:rsidRPr="00A34E74" w:rsidRDefault="00210DD0" w:rsidP="00D22573">
      <w:pPr>
        <w:autoSpaceDE w:val="0"/>
        <w:autoSpaceDN w:val="0"/>
        <w:adjustRightInd w:val="0"/>
        <w:ind w:leftChars="200" w:left="480"/>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2. International initiative participation</w:t>
      </w:r>
    </w:p>
    <w:p w:rsidR="00D22573" w:rsidRPr="00A34E74" w:rsidRDefault="00210DD0" w:rsidP="00D22573">
      <w:pPr>
        <w:autoSpaceDE w:val="0"/>
        <w:autoSpaceDN w:val="0"/>
        <w:adjustRightInd w:val="0"/>
        <w:spacing w:afterLines="50" w:after="180"/>
        <w:ind w:leftChars="300" w:left="720" w:firstLine="480"/>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We encourage the Company and its subsidiaries to proactively participate in and sign ESG-related international initiatives and principles.</w:t>
      </w:r>
    </w:p>
    <w:p w:rsidR="00D22573" w:rsidRPr="00A34E74" w:rsidRDefault="00210DD0" w:rsidP="00D22573">
      <w:pPr>
        <w:autoSpaceDE w:val="0"/>
        <w:autoSpaceDN w:val="0"/>
        <w:adjustRightInd w:val="0"/>
        <w:ind w:leftChars="200" w:left="480"/>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3. Operation management</w:t>
      </w:r>
    </w:p>
    <w:p w:rsidR="00D22573" w:rsidRPr="00A34E74" w:rsidRDefault="00210DD0" w:rsidP="00D22573">
      <w:pPr>
        <w:autoSpaceDE w:val="0"/>
        <w:autoSpaceDN w:val="0"/>
        <w:adjustRightInd w:val="0"/>
        <w:ind w:leftChars="500" w:left="1200"/>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The Company and its subsidiaries shall maintain an operating philosophy of honesty, accountability, and innovation, establish and continuously review and revise relevant management mechanisms, develop and grasp ESG strategies and objectives, assist customers in transforming into low-carbon economies, and utilize financial market power to promote sustainable development. ESG issues are incorporated into the credit, investment and insurance underwriting assessment and decision process, and the effectiveness to promote ESG is regularly reviewed in order to develop sustainable business talent, deeply cultivate a sustainable corporate culture, strengthen discussions on major topics of sustainability with all stakeholders, and improve ESG information disclosure.</w:t>
      </w:r>
    </w:p>
    <w:p w:rsidR="00D22573" w:rsidRPr="00A34E74" w:rsidRDefault="00210DD0" w:rsidP="00D22573">
      <w:pPr>
        <w:autoSpaceDE w:val="0"/>
        <w:autoSpaceDN w:val="0"/>
        <w:adjustRightInd w:val="0"/>
        <w:spacing w:afterLines="50" w:after="180"/>
        <w:ind w:leftChars="500" w:left="1200"/>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The Company and its subsidiaries shall conduct due diligence and prudential assessment of customers and suppliers who have sustainable development disputes to reduce the risk of serious adverse effects on ESG and sustainable development.</w:t>
      </w:r>
    </w:p>
    <w:p w:rsidR="00D22573" w:rsidRPr="00A34E74" w:rsidRDefault="00210DD0" w:rsidP="00D22573">
      <w:pPr>
        <w:autoSpaceDE w:val="0"/>
        <w:autoSpaceDN w:val="0"/>
        <w:adjustRightInd w:val="0"/>
        <w:ind w:leftChars="200" w:left="480"/>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4. Risk management</w:t>
      </w:r>
    </w:p>
    <w:p w:rsidR="00D22573" w:rsidRPr="00A34E74" w:rsidRDefault="00210DD0" w:rsidP="00D22573">
      <w:pPr>
        <w:autoSpaceDE w:val="0"/>
        <w:autoSpaceDN w:val="0"/>
        <w:adjustRightInd w:val="0"/>
        <w:spacing w:afterLines="50" w:after="180"/>
        <w:ind w:leftChars="500" w:left="1200"/>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The Company and its subsidiaries shall gradually incorporate climate change</w:t>
      </w:r>
      <w:r w:rsidR="008216D3" w:rsidRPr="00A34E74">
        <w:rPr>
          <w:rFonts w:ascii="Times New Roman" w:eastAsia="Times New Roman" w:hAnsi="Times New Roman" w:cs="Times New Roman"/>
          <w:color w:val="000000" w:themeColor="text1"/>
          <w:kern w:val="0"/>
          <w:szCs w:val="24"/>
        </w:rPr>
        <w:t xml:space="preserve">, </w:t>
      </w:r>
      <w:r w:rsidR="008216D3" w:rsidRPr="00A34E74">
        <w:rPr>
          <w:rFonts w:ascii="Times New Roman" w:eastAsia="Times New Roman" w:hAnsi="Times New Roman" w:cs="Times New Roman" w:hint="eastAsia"/>
          <w:color w:val="000000" w:themeColor="text1"/>
          <w:kern w:val="0"/>
          <w:szCs w:val="24"/>
        </w:rPr>
        <w:t>biological diversity</w:t>
      </w:r>
      <w:r w:rsidRPr="00A34E74">
        <w:rPr>
          <w:rFonts w:ascii="Times New Roman" w:eastAsia="Times New Roman" w:hAnsi="Times New Roman" w:cs="Times New Roman"/>
          <w:color w:val="000000" w:themeColor="text1"/>
          <w:kern w:val="0"/>
          <w:szCs w:val="24"/>
        </w:rPr>
        <w:t xml:space="preserve"> and other ESG-related risk factors into the risk management framework, identify risks that may impact corporate sustainability, and establish quantitative metrics and targets </w:t>
      </w:r>
      <w:proofErr w:type="gramStart"/>
      <w:r w:rsidRPr="00A34E74">
        <w:rPr>
          <w:rFonts w:ascii="Times New Roman" w:eastAsia="Times New Roman" w:hAnsi="Times New Roman" w:cs="Times New Roman"/>
          <w:color w:val="000000" w:themeColor="text1"/>
          <w:kern w:val="0"/>
          <w:szCs w:val="24"/>
        </w:rPr>
        <w:t>in order to</w:t>
      </w:r>
      <w:proofErr w:type="gramEnd"/>
      <w:r w:rsidRPr="00A34E74">
        <w:rPr>
          <w:rFonts w:ascii="Times New Roman" w:eastAsia="Times New Roman" w:hAnsi="Times New Roman" w:cs="Times New Roman"/>
          <w:color w:val="000000" w:themeColor="text1"/>
          <w:kern w:val="0"/>
          <w:szCs w:val="24"/>
        </w:rPr>
        <w:t xml:space="preserve"> </w:t>
      </w:r>
      <w:r w:rsidRPr="00A34E74">
        <w:rPr>
          <w:rFonts w:ascii="Times New Roman" w:eastAsia="Times New Roman" w:hAnsi="Times New Roman" w:cs="Times New Roman"/>
          <w:color w:val="000000" w:themeColor="text1"/>
          <w:kern w:val="0"/>
          <w:szCs w:val="24"/>
        </w:rPr>
        <w:lastRenderedPageBreak/>
        <w:t>measure and monitor risk levels, manage overall risks according to risk appetite, and provide references for operation and management decision-making in accordance with established risk management processes.</w:t>
      </w:r>
    </w:p>
    <w:p w:rsidR="00D22573" w:rsidRPr="00A34E74" w:rsidRDefault="00210DD0" w:rsidP="00D22573">
      <w:pPr>
        <w:autoSpaceDE w:val="0"/>
        <w:autoSpaceDN w:val="0"/>
        <w:adjustRightInd w:val="0"/>
        <w:ind w:leftChars="200" w:left="480"/>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5. Leading sustainable value</w:t>
      </w:r>
    </w:p>
    <w:p w:rsidR="00D22573" w:rsidRPr="00A34E74" w:rsidRDefault="00210DD0" w:rsidP="00D22573">
      <w:pPr>
        <w:autoSpaceDE w:val="0"/>
        <w:autoSpaceDN w:val="0"/>
        <w:adjustRightInd w:val="0"/>
        <w:spacing w:afterLines="50" w:after="180"/>
        <w:ind w:leftChars="500" w:left="1200"/>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In addition to formulating policies and administrative measures that incorporate ESG/SDGs considerations based on business characteristics,</w:t>
      </w:r>
      <w:r w:rsidR="00D51C55" w:rsidRPr="00A34E74">
        <w:rPr>
          <w:rFonts w:asciiTheme="minorEastAsia" w:hAnsiTheme="minorEastAsia" w:cs="Times New Roman" w:hint="eastAsia"/>
          <w:color w:val="000000" w:themeColor="text1"/>
          <w:kern w:val="0"/>
          <w:szCs w:val="24"/>
        </w:rPr>
        <w:t xml:space="preserve"> </w:t>
      </w:r>
      <w:r w:rsidR="00D51C55" w:rsidRPr="00A34E74">
        <w:rPr>
          <w:rFonts w:ascii="Times New Roman" w:hAnsi="Times New Roman" w:cs="Times New Roman" w:hint="cs"/>
          <w:color w:val="000000" w:themeColor="text1"/>
          <w:kern w:val="0"/>
          <w:szCs w:val="24"/>
        </w:rPr>
        <w:t>t</w:t>
      </w:r>
      <w:r w:rsidR="00D51C55" w:rsidRPr="00A34E74">
        <w:rPr>
          <w:rFonts w:ascii="Times New Roman" w:hAnsi="Times New Roman" w:cs="Times New Roman"/>
          <w:color w:val="000000" w:themeColor="text1"/>
          <w:kern w:val="0"/>
          <w:szCs w:val="24"/>
        </w:rPr>
        <w:t>he Company</w:t>
      </w:r>
      <w:r w:rsidR="00D51C55" w:rsidRPr="00A34E74">
        <w:rPr>
          <w:rFonts w:ascii="Times New Roman" w:eastAsia="Times New Roman" w:hAnsi="Times New Roman" w:cs="Times New Roman"/>
          <w:color w:val="000000" w:themeColor="text1"/>
          <w:kern w:val="0"/>
          <w:szCs w:val="24"/>
        </w:rPr>
        <w:t xml:space="preserve"> </w:t>
      </w:r>
      <w:r w:rsidR="004235E7" w:rsidRPr="00A34E74">
        <w:rPr>
          <w:rFonts w:ascii="Times New Roman" w:eastAsia="Times New Roman" w:hAnsi="Times New Roman" w:cs="Times New Roman"/>
          <w:color w:val="000000" w:themeColor="text1"/>
          <w:kern w:val="0"/>
          <w:szCs w:val="24"/>
        </w:rPr>
        <w:t>and its subsidiaries shall promote internally through</w:t>
      </w:r>
      <w:r w:rsidRPr="00A34E74">
        <w:rPr>
          <w:rFonts w:ascii="Times New Roman" w:eastAsia="Times New Roman" w:hAnsi="Times New Roman" w:cs="Times New Roman"/>
          <w:color w:val="000000" w:themeColor="text1"/>
          <w:kern w:val="0"/>
          <w:szCs w:val="24"/>
        </w:rPr>
        <w:t xml:space="preserve"> guidance, education, and training, and implementation of related processes, </w:t>
      </w:r>
      <w:r w:rsidR="004235E7" w:rsidRPr="00A34E74">
        <w:rPr>
          <w:rFonts w:ascii="Times New Roman" w:eastAsia="Times New Roman" w:hAnsi="Times New Roman" w:cs="Times New Roman"/>
          <w:color w:val="000000" w:themeColor="text1"/>
          <w:kern w:val="0"/>
          <w:szCs w:val="24"/>
        </w:rPr>
        <w:t xml:space="preserve">and </w:t>
      </w:r>
      <w:r w:rsidRPr="00A34E74">
        <w:rPr>
          <w:rFonts w:ascii="Times New Roman" w:eastAsia="Times New Roman" w:hAnsi="Times New Roman" w:cs="Times New Roman"/>
          <w:color w:val="000000" w:themeColor="text1"/>
          <w:kern w:val="0"/>
          <w:szCs w:val="24"/>
        </w:rPr>
        <w:t>actively lead customers, investors, and the public to create sustainable value.</w:t>
      </w:r>
    </w:p>
    <w:p w:rsidR="00D22573" w:rsidRPr="00A34E74" w:rsidRDefault="00210DD0" w:rsidP="00D22573">
      <w:pPr>
        <w:pStyle w:val="Default"/>
        <w:rPr>
          <w:rFonts w:ascii="Arial" w:hAnsi="Arial" w:cs="Arial"/>
          <w:color w:val="000000" w:themeColor="text1"/>
        </w:rPr>
      </w:pPr>
      <w:r w:rsidRPr="00A34E74">
        <w:rPr>
          <w:rFonts w:ascii="Times New Roman" w:eastAsia="Times New Roman" w:hAnsi="Times New Roman" w:cs="Times New Roman"/>
          <w:color w:val="000000" w:themeColor="text1"/>
        </w:rPr>
        <w:t xml:space="preserve">Article 6 </w:t>
      </w:r>
      <w:r w:rsidR="008216D3" w:rsidRPr="00A34E74">
        <w:rPr>
          <w:rFonts w:ascii="Times New Roman" w:eastAsia="Times New Roman" w:hAnsi="Times New Roman" w:cs="Times New Roman"/>
          <w:color w:val="000000" w:themeColor="text1"/>
        </w:rPr>
        <w:t>(</w:t>
      </w:r>
      <w:r w:rsidRPr="00A34E74">
        <w:rPr>
          <w:rFonts w:ascii="Times New Roman" w:eastAsia="Times New Roman" w:hAnsi="Times New Roman" w:cs="Times New Roman"/>
          <w:color w:val="000000" w:themeColor="text1"/>
        </w:rPr>
        <w:t>Disclosure of information</w:t>
      </w:r>
      <w:r w:rsidR="008216D3" w:rsidRPr="00A34E74">
        <w:rPr>
          <w:rFonts w:ascii="Times New Roman" w:eastAsia="Times New Roman" w:hAnsi="Times New Roman" w:cs="Times New Roman"/>
          <w:color w:val="000000" w:themeColor="text1"/>
        </w:rPr>
        <w:t>)</w:t>
      </w:r>
    </w:p>
    <w:p w:rsidR="00D22573" w:rsidRPr="00A34E74" w:rsidRDefault="00210DD0" w:rsidP="00D22573">
      <w:pPr>
        <w:pStyle w:val="Default"/>
        <w:spacing w:afterLines="50" w:after="180"/>
        <w:ind w:left="480"/>
        <w:rPr>
          <w:rFonts w:ascii="Arial" w:hAnsi="Arial" w:cs="Arial"/>
          <w:color w:val="000000" w:themeColor="text1"/>
        </w:rPr>
      </w:pPr>
      <w:r w:rsidRPr="00A34E74">
        <w:rPr>
          <w:rFonts w:ascii="Times New Roman" w:eastAsia="Times New Roman" w:hAnsi="Times New Roman" w:cs="Times New Roman"/>
          <w:color w:val="000000" w:themeColor="text1"/>
        </w:rPr>
        <w:t xml:space="preserve">The effectiveness of this policy will be disclosed in the Company’s Sustainability Report and external website in accordance with applicable international guidelines and will also be disclosed in relevant publications and at the </w:t>
      </w:r>
      <w:r w:rsidR="00A65256" w:rsidRPr="00A34E74">
        <w:rPr>
          <w:rFonts w:ascii="Times New Roman" w:eastAsia="Times New Roman" w:hAnsi="Times New Roman" w:cs="Times New Roman"/>
          <w:color w:val="000000" w:themeColor="text1"/>
        </w:rPr>
        <w:t>regulator</w:t>
      </w:r>
      <w:r w:rsidRPr="00A34E74">
        <w:rPr>
          <w:rFonts w:ascii="Times New Roman" w:eastAsia="Times New Roman" w:hAnsi="Times New Roman" w:cs="Times New Roman"/>
          <w:color w:val="000000" w:themeColor="text1"/>
        </w:rPr>
        <w:t>’s request.</w:t>
      </w:r>
    </w:p>
    <w:p w:rsidR="00D22573" w:rsidRPr="00A34E74" w:rsidRDefault="00210DD0" w:rsidP="00D22573">
      <w:pPr>
        <w:autoSpaceDE w:val="0"/>
        <w:autoSpaceDN w:val="0"/>
        <w:adjustRightInd w:val="0"/>
        <w:ind w:left="840" w:hangingChars="350" w:hanging="840"/>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 xml:space="preserve">Article 7 </w:t>
      </w:r>
      <w:r w:rsidR="008216D3" w:rsidRPr="00A34E74">
        <w:rPr>
          <w:rFonts w:ascii="Times New Roman" w:eastAsia="Times New Roman" w:hAnsi="Times New Roman" w:cs="Times New Roman"/>
          <w:color w:val="000000" w:themeColor="text1"/>
          <w:kern w:val="0"/>
          <w:szCs w:val="24"/>
        </w:rPr>
        <w:t>(</w:t>
      </w:r>
      <w:r w:rsidRPr="00A34E74">
        <w:rPr>
          <w:rFonts w:ascii="Times New Roman" w:eastAsia="Times New Roman" w:hAnsi="Times New Roman" w:cs="Times New Roman"/>
          <w:color w:val="000000" w:themeColor="text1"/>
          <w:kern w:val="0"/>
          <w:szCs w:val="24"/>
        </w:rPr>
        <w:t>Miscellaneous</w:t>
      </w:r>
      <w:r w:rsidR="008216D3" w:rsidRPr="00A34E74">
        <w:rPr>
          <w:rFonts w:ascii="Times New Roman" w:eastAsia="Times New Roman" w:hAnsi="Times New Roman" w:cs="Times New Roman"/>
          <w:color w:val="000000" w:themeColor="text1"/>
          <w:kern w:val="0"/>
          <w:szCs w:val="24"/>
        </w:rPr>
        <w:t>)</w:t>
      </w:r>
    </w:p>
    <w:p w:rsidR="00D22573" w:rsidRPr="00A34E74" w:rsidRDefault="00210DD0" w:rsidP="00D22573">
      <w:pPr>
        <w:pStyle w:val="Default"/>
        <w:ind w:left="482"/>
        <w:rPr>
          <w:rFonts w:ascii="Arial" w:hAnsi="Arial" w:cs="Arial"/>
          <w:color w:val="000000" w:themeColor="text1"/>
        </w:rPr>
      </w:pPr>
      <w:r w:rsidRPr="00A34E74">
        <w:rPr>
          <w:rFonts w:ascii="Times New Roman" w:eastAsia="Times New Roman" w:hAnsi="Times New Roman" w:cs="Times New Roman"/>
          <w:color w:val="000000" w:themeColor="text1"/>
        </w:rPr>
        <w:t>The Company’s subsidiaries shall establish relevant sustainable financial practices for their subsidiary companies to follow.</w:t>
      </w:r>
    </w:p>
    <w:p w:rsidR="00D22573" w:rsidRPr="00A34E74" w:rsidRDefault="00210DD0" w:rsidP="00D22573">
      <w:pPr>
        <w:pStyle w:val="Default"/>
        <w:ind w:left="482"/>
        <w:rPr>
          <w:rFonts w:ascii="Arial" w:hAnsi="Arial" w:cs="Arial"/>
          <w:color w:val="000000" w:themeColor="text1"/>
        </w:rPr>
      </w:pPr>
      <w:r w:rsidRPr="00A34E74">
        <w:rPr>
          <w:rFonts w:ascii="Times New Roman" w:eastAsia="Times New Roman" w:hAnsi="Times New Roman" w:cs="Times New Roman"/>
          <w:color w:val="000000" w:themeColor="text1"/>
        </w:rPr>
        <w:t>The subsidiary companies mentioned in the preceding paragraph refer to companies that comply with the provisions of Article 369-2 and Article 369-3 of the Company Act.</w:t>
      </w:r>
    </w:p>
    <w:p w:rsidR="00D22573" w:rsidRPr="00A34E74" w:rsidRDefault="00210DD0" w:rsidP="00D22573">
      <w:pPr>
        <w:pStyle w:val="Default"/>
        <w:spacing w:afterLines="50" w:after="180"/>
        <w:ind w:left="480"/>
        <w:rPr>
          <w:rFonts w:ascii="Times New Roman" w:eastAsia="Times New Roman" w:hAnsi="Times New Roman" w:cs="Times New Roman"/>
          <w:color w:val="000000" w:themeColor="text1"/>
        </w:rPr>
      </w:pPr>
      <w:r w:rsidRPr="00A34E74">
        <w:rPr>
          <w:rFonts w:ascii="Times New Roman" w:eastAsia="Times New Roman" w:hAnsi="Times New Roman" w:cs="Times New Roman"/>
          <w:color w:val="000000" w:themeColor="text1"/>
        </w:rPr>
        <w:t xml:space="preserve">Each subsidiary company shall report the sustainable finance-related management regulations and measures established in accordance with this policy, if the approval </w:t>
      </w:r>
      <w:bookmarkStart w:id="0" w:name="_GoBack"/>
      <w:bookmarkEnd w:id="0"/>
      <w:r w:rsidRPr="00A34E74">
        <w:rPr>
          <w:rFonts w:ascii="Times New Roman" w:eastAsia="Times New Roman" w:hAnsi="Times New Roman" w:cs="Times New Roman"/>
          <w:color w:val="000000" w:themeColor="text1"/>
        </w:rPr>
        <w:t xml:space="preserve">level is the Board of Directors, to the Company’s </w:t>
      </w:r>
      <w:r w:rsidR="00E942C5" w:rsidRPr="00A34E74">
        <w:rPr>
          <w:rFonts w:ascii="Times New Roman" w:eastAsia="Times New Roman" w:hAnsi="Times New Roman" w:cs="Times New Roman"/>
          <w:color w:val="000000" w:themeColor="text1"/>
        </w:rPr>
        <w:t>Sustainable Development Committee</w:t>
      </w:r>
      <w:r w:rsidRPr="00A34E74">
        <w:rPr>
          <w:rFonts w:ascii="Times New Roman" w:eastAsia="Times New Roman" w:hAnsi="Times New Roman" w:cs="Times New Roman"/>
          <w:color w:val="000000" w:themeColor="text1"/>
        </w:rPr>
        <w:t xml:space="preserve"> for future reference after they are reported for discussion and approved.</w:t>
      </w:r>
    </w:p>
    <w:p w:rsidR="00D22573" w:rsidRPr="00A34E74" w:rsidRDefault="00210DD0" w:rsidP="00D22573">
      <w:pPr>
        <w:kinsoku w:val="0"/>
        <w:overflowPunct w:val="0"/>
        <w:autoSpaceDE w:val="0"/>
        <w:autoSpaceDN w:val="0"/>
        <w:spacing w:line="340" w:lineRule="exact"/>
        <w:jc w:val="both"/>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 xml:space="preserve">Article 8 </w:t>
      </w:r>
      <w:r w:rsidR="008216D3" w:rsidRPr="00A34E74">
        <w:rPr>
          <w:rFonts w:ascii="Times New Roman" w:eastAsia="Times New Roman" w:hAnsi="Times New Roman" w:cs="Times New Roman"/>
          <w:color w:val="000000" w:themeColor="text1"/>
          <w:kern w:val="0"/>
          <w:szCs w:val="24"/>
        </w:rPr>
        <w:t>(</w:t>
      </w:r>
      <w:r w:rsidRPr="00A34E74">
        <w:rPr>
          <w:rFonts w:ascii="Times New Roman" w:eastAsia="Times New Roman" w:hAnsi="Times New Roman" w:cs="Times New Roman"/>
          <w:color w:val="000000" w:themeColor="text1"/>
          <w:kern w:val="0"/>
          <w:szCs w:val="24"/>
        </w:rPr>
        <w:t>Matters not covered</w:t>
      </w:r>
      <w:r w:rsidR="008216D3" w:rsidRPr="00A34E74">
        <w:rPr>
          <w:rFonts w:ascii="Times New Roman" w:eastAsia="Times New Roman" w:hAnsi="Times New Roman" w:cs="Times New Roman"/>
          <w:color w:val="000000" w:themeColor="text1"/>
          <w:kern w:val="0"/>
          <w:szCs w:val="24"/>
        </w:rPr>
        <w:t>)</w:t>
      </w:r>
    </w:p>
    <w:p w:rsidR="00D22573" w:rsidRPr="00A34E74" w:rsidRDefault="00210DD0" w:rsidP="00D22573">
      <w:pPr>
        <w:pStyle w:val="Default"/>
        <w:spacing w:afterLines="50" w:after="180"/>
        <w:ind w:left="480"/>
        <w:rPr>
          <w:rFonts w:ascii="Arial" w:hAnsi="Arial" w:cs="Arial"/>
          <w:color w:val="000000" w:themeColor="text1"/>
        </w:rPr>
      </w:pPr>
      <w:r w:rsidRPr="00A34E74">
        <w:rPr>
          <w:rFonts w:ascii="Times New Roman" w:eastAsia="Times New Roman" w:hAnsi="Times New Roman" w:cs="Times New Roman"/>
          <w:color w:val="000000" w:themeColor="text1"/>
        </w:rPr>
        <w:t>Any matter not covered by this policy shall be handled in accordance with relevant laws and regulations and the Company’s relevant regulations.</w:t>
      </w:r>
    </w:p>
    <w:p w:rsidR="00D22573" w:rsidRPr="00A34E74" w:rsidRDefault="00210DD0" w:rsidP="00D22573">
      <w:pPr>
        <w:kinsoku w:val="0"/>
        <w:overflowPunct w:val="0"/>
        <w:autoSpaceDE w:val="0"/>
        <w:autoSpaceDN w:val="0"/>
        <w:spacing w:line="340" w:lineRule="exact"/>
        <w:jc w:val="both"/>
        <w:rPr>
          <w:rFonts w:ascii="Arial" w:eastAsia="標楷體" w:hAnsi="Arial" w:cs="Arial"/>
          <w:color w:val="000000" w:themeColor="text1"/>
          <w:kern w:val="0"/>
          <w:szCs w:val="24"/>
        </w:rPr>
      </w:pPr>
      <w:r w:rsidRPr="00A34E74">
        <w:rPr>
          <w:rFonts w:ascii="Times New Roman" w:eastAsia="Times New Roman" w:hAnsi="Times New Roman" w:cs="Times New Roman"/>
          <w:color w:val="000000" w:themeColor="text1"/>
          <w:kern w:val="0"/>
          <w:szCs w:val="24"/>
        </w:rPr>
        <w:t xml:space="preserve">Article 9 </w:t>
      </w:r>
      <w:r w:rsidR="008216D3" w:rsidRPr="00A34E74">
        <w:rPr>
          <w:rFonts w:ascii="Times New Roman" w:eastAsia="Times New Roman" w:hAnsi="Times New Roman" w:cs="Times New Roman"/>
          <w:color w:val="000000" w:themeColor="text1"/>
          <w:kern w:val="0"/>
          <w:szCs w:val="24"/>
        </w:rPr>
        <w:t>(</w:t>
      </w:r>
      <w:r w:rsidRPr="00A34E74">
        <w:rPr>
          <w:rFonts w:ascii="Times New Roman" w:eastAsia="Times New Roman" w:hAnsi="Times New Roman" w:cs="Times New Roman"/>
          <w:color w:val="000000" w:themeColor="text1"/>
          <w:kern w:val="0"/>
          <w:szCs w:val="24"/>
        </w:rPr>
        <w:t>Approval</w:t>
      </w:r>
      <w:r w:rsidR="008216D3" w:rsidRPr="00A34E74">
        <w:rPr>
          <w:rFonts w:ascii="Times New Roman" w:eastAsia="Times New Roman" w:hAnsi="Times New Roman" w:cs="Times New Roman"/>
          <w:color w:val="000000" w:themeColor="text1"/>
          <w:kern w:val="0"/>
          <w:szCs w:val="24"/>
        </w:rPr>
        <w:t>)</w:t>
      </w:r>
    </w:p>
    <w:p w:rsidR="00D22573" w:rsidRPr="00A34E74" w:rsidRDefault="00210DD0" w:rsidP="00D22573">
      <w:pPr>
        <w:pStyle w:val="Default"/>
        <w:spacing w:afterLines="50" w:after="180"/>
        <w:ind w:left="480"/>
        <w:rPr>
          <w:rFonts w:ascii="Arial" w:hAnsi="Arial" w:cs="Arial"/>
          <w:color w:val="000000" w:themeColor="text1"/>
        </w:rPr>
      </w:pPr>
      <w:r w:rsidRPr="00A34E74">
        <w:rPr>
          <w:rFonts w:ascii="Times New Roman" w:eastAsia="Times New Roman" w:hAnsi="Times New Roman" w:cs="Times New Roman"/>
          <w:color w:val="000000" w:themeColor="text1"/>
        </w:rPr>
        <w:t xml:space="preserve">This policy shall </w:t>
      </w:r>
      <w:proofErr w:type="gramStart"/>
      <w:r w:rsidRPr="00A34E74">
        <w:rPr>
          <w:rFonts w:ascii="Times New Roman" w:eastAsia="Times New Roman" w:hAnsi="Times New Roman" w:cs="Times New Roman"/>
          <w:color w:val="000000" w:themeColor="text1"/>
        </w:rPr>
        <w:t>enter into</w:t>
      </w:r>
      <w:proofErr w:type="gramEnd"/>
      <w:r w:rsidRPr="00A34E74">
        <w:rPr>
          <w:rFonts w:ascii="Times New Roman" w:eastAsia="Times New Roman" w:hAnsi="Times New Roman" w:cs="Times New Roman"/>
          <w:color w:val="000000" w:themeColor="text1"/>
        </w:rPr>
        <w:t xml:space="preserve"> effect upon approval by the Board of Directors; the same is true for amendments and the repeal thereof.</w:t>
      </w:r>
    </w:p>
    <w:p w:rsidR="00852F85" w:rsidRPr="00A34E74" w:rsidRDefault="00F441CD" w:rsidP="005C279A">
      <w:pPr>
        <w:widowControl/>
        <w:shd w:val="clear" w:color="auto" w:fill="FDFDFD"/>
        <w:rPr>
          <w:rFonts w:ascii="Times New Roman" w:eastAsia="Times New Roman" w:hAnsi="Times New Roman" w:cs="Times New Roman"/>
          <w:color w:val="000000" w:themeColor="text1"/>
          <w:kern w:val="0"/>
          <w:szCs w:val="24"/>
        </w:rPr>
      </w:pPr>
      <w:r w:rsidRPr="00A34E74">
        <w:rPr>
          <w:rFonts w:ascii="Times New Roman" w:eastAsia="Times New Roman" w:hAnsi="Times New Roman" w:cs="Times New Roman" w:hint="eastAsia"/>
          <w:color w:val="000000" w:themeColor="text1"/>
          <w:kern w:val="0"/>
          <w:szCs w:val="24"/>
        </w:rPr>
        <w:t>A</w:t>
      </w:r>
      <w:r w:rsidRPr="00A34E74">
        <w:rPr>
          <w:rFonts w:ascii="Times New Roman" w:eastAsia="Times New Roman" w:hAnsi="Times New Roman" w:cs="Times New Roman"/>
          <w:color w:val="000000" w:themeColor="text1"/>
          <w:kern w:val="0"/>
          <w:szCs w:val="24"/>
        </w:rPr>
        <w:t>rtic</w:t>
      </w:r>
      <w:r w:rsidR="009569D6" w:rsidRPr="00A34E74">
        <w:rPr>
          <w:rFonts w:ascii="Times New Roman" w:eastAsia="Times New Roman" w:hAnsi="Times New Roman" w:cs="Times New Roman"/>
          <w:color w:val="000000" w:themeColor="text1"/>
          <w:kern w:val="0"/>
          <w:szCs w:val="24"/>
        </w:rPr>
        <w:t>le 10 (</w:t>
      </w:r>
      <w:r w:rsidR="00BE43AA" w:rsidRPr="00A34E74">
        <w:rPr>
          <w:rFonts w:ascii="Times New Roman" w:eastAsia="Times New Roman" w:hAnsi="Times New Roman" w:cs="Times New Roman"/>
          <w:color w:val="000000" w:themeColor="text1"/>
          <w:kern w:val="0"/>
          <w:szCs w:val="24"/>
        </w:rPr>
        <w:t xml:space="preserve">Revision </w:t>
      </w:r>
      <w:r w:rsidR="005C279A" w:rsidRPr="00A34E74">
        <w:rPr>
          <w:rFonts w:ascii="Times New Roman" w:eastAsia="Times New Roman" w:hAnsi="Times New Roman" w:cs="Times New Roman"/>
          <w:color w:val="000000" w:themeColor="text1"/>
          <w:kern w:val="0"/>
          <w:szCs w:val="24"/>
        </w:rPr>
        <w:t>History</w:t>
      </w:r>
      <w:r w:rsidR="009569D6" w:rsidRPr="00A34E74">
        <w:rPr>
          <w:rFonts w:ascii="Times New Roman" w:eastAsia="Times New Roman" w:hAnsi="Times New Roman" w:cs="Times New Roman"/>
          <w:color w:val="000000" w:themeColor="text1"/>
          <w:kern w:val="0"/>
          <w:szCs w:val="24"/>
        </w:rPr>
        <w:t>)</w:t>
      </w:r>
      <w:r w:rsidR="00FC0EAF" w:rsidRPr="00A34E74">
        <w:rPr>
          <w:color w:val="000000" w:themeColor="text1"/>
        </w:rPr>
        <w:t xml:space="preserve"> </w:t>
      </w:r>
    </w:p>
    <w:p w:rsidR="009569D6" w:rsidRPr="009569D6" w:rsidRDefault="009569D6" w:rsidP="009569D6">
      <w:pPr>
        <w:ind w:leftChars="200" w:left="480"/>
        <w:rPr>
          <w:rFonts w:ascii="Times New Roman" w:eastAsia="Times New Roman" w:hAnsi="Times New Roman" w:cs="Times New Roman"/>
          <w:color w:val="FF0000"/>
          <w:kern w:val="0"/>
          <w:szCs w:val="24"/>
        </w:rPr>
      </w:pPr>
      <w:r w:rsidRPr="00A34E74">
        <w:rPr>
          <w:rFonts w:ascii="Times New Roman" w:eastAsia="Times New Roman" w:hAnsi="Times New Roman" w:cs="Times New Roman"/>
          <w:color w:val="000000" w:themeColor="text1"/>
          <w:kern w:val="0"/>
          <w:szCs w:val="24"/>
        </w:rPr>
        <w:t>This Policy was formulated on March 23</w:t>
      </w:r>
      <w:r w:rsidRPr="00A34E74">
        <w:rPr>
          <w:rFonts w:ascii="Times New Roman" w:eastAsia="Times New Roman" w:hAnsi="Times New Roman" w:cs="Times New Roman" w:hint="eastAsia"/>
          <w:color w:val="000000" w:themeColor="text1"/>
          <w:kern w:val="0"/>
          <w:szCs w:val="24"/>
        </w:rPr>
        <w:t>,</w:t>
      </w:r>
      <w:r w:rsidRPr="00A34E74">
        <w:rPr>
          <w:rFonts w:ascii="Times New Roman" w:eastAsia="Times New Roman" w:hAnsi="Times New Roman" w:cs="Times New Roman"/>
          <w:color w:val="000000" w:themeColor="text1"/>
          <w:kern w:val="0"/>
          <w:szCs w:val="24"/>
        </w:rPr>
        <w:t xml:space="preserve"> 2021. The first amendment was </w:t>
      </w:r>
      <w:r w:rsidR="00BE43AA" w:rsidRPr="00A34E74">
        <w:rPr>
          <w:rFonts w:ascii="Times New Roman" w:eastAsia="Times New Roman" w:hAnsi="Times New Roman" w:cs="Times New Roman"/>
          <w:color w:val="000000" w:themeColor="text1"/>
          <w:kern w:val="0"/>
          <w:szCs w:val="24"/>
        </w:rPr>
        <w:t>made</w:t>
      </w:r>
      <w:r w:rsidRPr="00A34E74">
        <w:rPr>
          <w:rFonts w:ascii="Times New Roman" w:eastAsia="Times New Roman" w:hAnsi="Times New Roman" w:cs="Times New Roman"/>
          <w:color w:val="000000" w:themeColor="text1"/>
          <w:kern w:val="0"/>
          <w:szCs w:val="24"/>
        </w:rPr>
        <w:t xml:space="preserve"> on </w:t>
      </w:r>
      <w:r w:rsidRPr="00A34E74">
        <w:rPr>
          <w:rFonts w:ascii="Times New Roman" w:eastAsia="Times New Roman" w:hAnsi="Times New Roman" w:cs="Times New Roman" w:hint="eastAsia"/>
          <w:color w:val="000000" w:themeColor="text1"/>
          <w:kern w:val="0"/>
          <w:szCs w:val="24"/>
        </w:rPr>
        <w:t>J</w:t>
      </w:r>
      <w:r w:rsidRPr="00A34E74">
        <w:rPr>
          <w:rFonts w:ascii="Times New Roman" w:eastAsia="Times New Roman" w:hAnsi="Times New Roman" w:cs="Times New Roman"/>
          <w:color w:val="000000" w:themeColor="text1"/>
          <w:kern w:val="0"/>
          <w:szCs w:val="24"/>
        </w:rPr>
        <w:t xml:space="preserve">une 28, 2022. The second amendment was </w:t>
      </w:r>
      <w:r w:rsidR="00BE43AA" w:rsidRPr="00A34E74">
        <w:rPr>
          <w:rFonts w:ascii="Times New Roman" w:eastAsia="Times New Roman" w:hAnsi="Times New Roman" w:cs="Times New Roman"/>
          <w:color w:val="000000" w:themeColor="text1"/>
          <w:kern w:val="0"/>
          <w:szCs w:val="24"/>
        </w:rPr>
        <w:t>made</w:t>
      </w:r>
      <w:r w:rsidRPr="00A34E74">
        <w:rPr>
          <w:rFonts w:ascii="Times New Roman" w:eastAsia="Times New Roman" w:hAnsi="Times New Roman" w:cs="Times New Roman"/>
          <w:color w:val="000000" w:themeColor="text1"/>
          <w:kern w:val="0"/>
          <w:szCs w:val="24"/>
        </w:rPr>
        <w:t xml:space="preserve"> on January 31, 2023.</w:t>
      </w:r>
    </w:p>
    <w:sectPr w:rsidR="009569D6" w:rsidRPr="009569D6" w:rsidSect="008A00AE">
      <w:pgSz w:w="11906" w:h="16838"/>
      <w:pgMar w:top="1134" w:right="1588"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A4F" w:rsidRDefault="00BE7A4F">
      <w:r>
        <w:separator/>
      </w:r>
    </w:p>
  </w:endnote>
  <w:endnote w:type="continuationSeparator" w:id="0">
    <w:p w:rsidR="00BE7A4F" w:rsidRDefault="00BE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A4F" w:rsidRDefault="00BE7A4F">
      <w:r>
        <w:separator/>
      </w:r>
    </w:p>
  </w:footnote>
  <w:footnote w:type="continuationSeparator" w:id="0">
    <w:p w:rsidR="00BE7A4F" w:rsidRDefault="00BE7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573"/>
    <w:rsid w:val="00052933"/>
    <w:rsid w:val="00062591"/>
    <w:rsid w:val="001128AA"/>
    <w:rsid w:val="00207AEA"/>
    <w:rsid w:val="00210DD0"/>
    <w:rsid w:val="00222EC7"/>
    <w:rsid w:val="00301677"/>
    <w:rsid w:val="00303DA6"/>
    <w:rsid w:val="00330C27"/>
    <w:rsid w:val="00333E2F"/>
    <w:rsid w:val="003E5AE5"/>
    <w:rsid w:val="0040519F"/>
    <w:rsid w:val="004235E7"/>
    <w:rsid w:val="004262EA"/>
    <w:rsid w:val="00437D93"/>
    <w:rsid w:val="004C3CA0"/>
    <w:rsid w:val="005112FE"/>
    <w:rsid w:val="005315BA"/>
    <w:rsid w:val="00585A77"/>
    <w:rsid w:val="005A4535"/>
    <w:rsid w:val="005C279A"/>
    <w:rsid w:val="006D5507"/>
    <w:rsid w:val="006D63FD"/>
    <w:rsid w:val="006F711B"/>
    <w:rsid w:val="007930CC"/>
    <w:rsid w:val="008216D3"/>
    <w:rsid w:val="00850714"/>
    <w:rsid w:val="00852F85"/>
    <w:rsid w:val="00876B41"/>
    <w:rsid w:val="008A3B7B"/>
    <w:rsid w:val="009569D6"/>
    <w:rsid w:val="009B202D"/>
    <w:rsid w:val="00A22E3F"/>
    <w:rsid w:val="00A34E74"/>
    <w:rsid w:val="00A65256"/>
    <w:rsid w:val="00A65B23"/>
    <w:rsid w:val="00B60405"/>
    <w:rsid w:val="00BE43AA"/>
    <w:rsid w:val="00BE7A4F"/>
    <w:rsid w:val="00CC314E"/>
    <w:rsid w:val="00CF2596"/>
    <w:rsid w:val="00D22573"/>
    <w:rsid w:val="00D51C55"/>
    <w:rsid w:val="00DB4FCC"/>
    <w:rsid w:val="00DE214E"/>
    <w:rsid w:val="00E508CD"/>
    <w:rsid w:val="00E942C5"/>
    <w:rsid w:val="00EC2E46"/>
    <w:rsid w:val="00F02156"/>
    <w:rsid w:val="00F0374E"/>
    <w:rsid w:val="00F441CD"/>
    <w:rsid w:val="00F55BD7"/>
    <w:rsid w:val="00F974DC"/>
    <w:rsid w:val="00FC0E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7C417A-2505-4652-A712-DF6B3F5F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573"/>
    <w:pPr>
      <w:widowControl w:val="0"/>
    </w:pPr>
  </w:style>
  <w:style w:type="paragraph" w:styleId="1">
    <w:name w:val="heading 1"/>
    <w:basedOn w:val="a"/>
    <w:link w:val="10"/>
    <w:uiPriority w:val="9"/>
    <w:qFormat/>
    <w:rsid w:val="00D22573"/>
    <w:pPr>
      <w:autoSpaceDE w:val="0"/>
      <w:autoSpaceDN w:val="0"/>
      <w:ind w:left="2772" w:right="2993"/>
      <w:jc w:val="center"/>
      <w:outlineLvl w:val="0"/>
    </w:pPr>
    <w:rPr>
      <w:rFonts w:ascii="微軟正黑體" w:eastAsia="微軟正黑體" w:hAnsi="微軟正黑體" w:cs="微軟正黑體"/>
      <w:b/>
      <w:bCs/>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22573"/>
    <w:rPr>
      <w:rFonts w:ascii="微軟正黑體" w:eastAsia="微軟正黑體" w:hAnsi="微軟正黑體" w:cs="微軟正黑體"/>
      <w:b/>
      <w:bCs/>
      <w:kern w:val="0"/>
      <w:sz w:val="32"/>
      <w:szCs w:val="32"/>
      <w:lang w:val="zh-TW" w:bidi="zh-TW"/>
    </w:rPr>
  </w:style>
  <w:style w:type="paragraph" w:customStyle="1" w:styleId="Default">
    <w:name w:val="Default"/>
    <w:rsid w:val="00D22573"/>
    <w:pPr>
      <w:widowControl w:val="0"/>
      <w:autoSpaceDE w:val="0"/>
      <w:autoSpaceDN w:val="0"/>
      <w:adjustRightInd w:val="0"/>
    </w:pPr>
    <w:rPr>
      <w:rFonts w:ascii="標楷體" w:eastAsia="標楷體" w:cs="標楷體"/>
      <w:color w:val="000000"/>
      <w:kern w:val="0"/>
      <w:szCs w:val="24"/>
    </w:rPr>
  </w:style>
  <w:style w:type="paragraph" w:styleId="a3">
    <w:name w:val="footer"/>
    <w:basedOn w:val="a"/>
    <w:link w:val="a4"/>
    <w:uiPriority w:val="99"/>
    <w:unhideWhenUsed/>
    <w:rsid w:val="00D22573"/>
    <w:pPr>
      <w:tabs>
        <w:tab w:val="center" w:pos="4153"/>
        <w:tab w:val="right" w:pos="8306"/>
      </w:tabs>
      <w:snapToGrid w:val="0"/>
    </w:pPr>
    <w:rPr>
      <w:sz w:val="20"/>
      <w:szCs w:val="20"/>
    </w:rPr>
  </w:style>
  <w:style w:type="character" w:customStyle="1" w:styleId="a4">
    <w:name w:val="頁尾 字元"/>
    <w:basedOn w:val="a0"/>
    <w:link w:val="a3"/>
    <w:uiPriority w:val="99"/>
    <w:rsid w:val="00D22573"/>
    <w:rPr>
      <w:sz w:val="20"/>
      <w:szCs w:val="20"/>
    </w:rPr>
  </w:style>
  <w:style w:type="paragraph" w:styleId="a5">
    <w:name w:val="header"/>
    <w:basedOn w:val="a"/>
    <w:link w:val="a6"/>
    <w:uiPriority w:val="99"/>
    <w:unhideWhenUsed/>
    <w:rsid w:val="00062591"/>
    <w:pPr>
      <w:tabs>
        <w:tab w:val="center" w:pos="4153"/>
        <w:tab w:val="right" w:pos="8306"/>
      </w:tabs>
      <w:snapToGrid w:val="0"/>
    </w:pPr>
    <w:rPr>
      <w:sz w:val="20"/>
      <w:szCs w:val="20"/>
    </w:rPr>
  </w:style>
  <w:style w:type="character" w:customStyle="1" w:styleId="a6">
    <w:name w:val="頁首 字元"/>
    <w:basedOn w:val="a0"/>
    <w:link w:val="a5"/>
    <w:uiPriority w:val="99"/>
    <w:rsid w:val="0006259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121276">
      <w:bodyDiv w:val="1"/>
      <w:marLeft w:val="0"/>
      <w:marRight w:val="0"/>
      <w:marTop w:val="0"/>
      <w:marBottom w:val="0"/>
      <w:divBdr>
        <w:top w:val="none" w:sz="0" w:space="0" w:color="auto"/>
        <w:left w:val="none" w:sz="0" w:space="0" w:color="auto"/>
        <w:bottom w:val="none" w:sz="0" w:space="0" w:color="auto"/>
        <w:right w:val="none" w:sz="0" w:space="0" w:color="auto"/>
      </w:divBdr>
      <w:divsChild>
        <w:div w:id="1809321370">
          <w:marLeft w:val="0"/>
          <w:marRight w:val="0"/>
          <w:marTop w:val="0"/>
          <w:marBottom w:val="0"/>
          <w:divBdr>
            <w:top w:val="none" w:sz="0" w:space="0" w:color="auto"/>
            <w:left w:val="none" w:sz="0" w:space="0" w:color="auto"/>
            <w:bottom w:val="none" w:sz="0" w:space="0" w:color="auto"/>
            <w:right w:val="none" w:sz="0" w:space="0" w:color="auto"/>
          </w:divBdr>
          <w:divsChild>
            <w:div w:id="185868046">
              <w:marLeft w:val="0"/>
              <w:marRight w:val="0"/>
              <w:marTop w:val="0"/>
              <w:marBottom w:val="0"/>
              <w:divBdr>
                <w:top w:val="none" w:sz="0" w:space="0" w:color="auto"/>
                <w:left w:val="none" w:sz="0" w:space="0" w:color="auto"/>
                <w:bottom w:val="none" w:sz="0" w:space="0" w:color="auto"/>
                <w:right w:val="none" w:sz="0" w:space="0" w:color="auto"/>
              </w:divBdr>
              <w:divsChild>
                <w:div w:id="1198198518">
                  <w:marLeft w:val="0"/>
                  <w:marRight w:val="0"/>
                  <w:marTop w:val="0"/>
                  <w:marBottom w:val="0"/>
                  <w:divBdr>
                    <w:top w:val="none" w:sz="0" w:space="0" w:color="auto"/>
                    <w:left w:val="none" w:sz="0" w:space="0" w:color="auto"/>
                    <w:bottom w:val="none" w:sz="0" w:space="0" w:color="auto"/>
                    <w:right w:val="none" w:sz="0" w:space="0" w:color="auto"/>
                  </w:divBdr>
                  <w:divsChild>
                    <w:div w:id="1565331332">
                      <w:marLeft w:val="0"/>
                      <w:marRight w:val="0"/>
                      <w:marTop w:val="0"/>
                      <w:marBottom w:val="0"/>
                      <w:divBdr>
                        <w:top w:val="none" w:sz="0" w:space="0" w:color="auto"/>
                        <w:left w:val="none" w:sz="0" w:space="0" w:color="auto"/>
                        <w:bottom w:val="none" w:sz="0" w:space="0" w:color="auto"/>
                        <w:right w:val="none" w:sz="0" w:space="0" w:color="auto"/>
                      </w:divBdr>
                      <w:divsChild>
                        <w:div w:id="751270089">
                          <w:marLeft w:val="0"/>
                          <w:marRight w:val="0"/>
                          <w:marTop w:val="0"/>
                          <w:marBottom w:val="0"/>
                          <w:divBdr>
                            <w:top w:val="none" w:sz="0" w:space="0" w:color="auto"/>
                            <w:left w:val="none" w:sz="0" w:space="0" w:color="auto"/>
                            <w:bottom w:val="none" w:sz="0" w:space="0" w:color="auto"/>
                            <w:right w:val="none" w:sz="0" w:space="0" w:color="auto"/>
                          </w:divBdr>
                          <w:divsChild>
                            <w:div w:id="1800416817">
                              <w:marLeft w:val="0"/>
                              <w:marRight w:val="0"/>
                              <w:marTop w:val="0"/>
                              <w:marBottom w:val="0"/>
                              <w:divBdr>
                                <w:top w:val="none" w:sz="0" w:space="0" w:color="auto"/>
                                <w:left w:val="none" w:sz="0" w:space="0" w:color="auto"/>
                                <w:bottom w:val="none" w:sz="0" w:space="0" w:color="auto"/>
                                <w:right w:val="none" w:sz="0" w:space="0" w:color="auto"/>
                              </w:divBdr>
                              <w:divsChild>
                                <w:div w:id="549194068">
                                  <w:marLeft w:val="0"/>
                                  <w:marRight w:val="0"/>
                                  <w:marTop w:val="0"/>
                                  <w:marBottom w:val="0"/>
                                  <w:divBdr>
                                    <w:top w:val="none" w:sz="0" w:space="0" w:color="auto"/>
                                    <w:left w:val="none" w:sz="0" w:space="0" w:color="auto"/>
                                    <w:bottom w:val="none" w:sz="0" w:space="0" w:color="auto"/>
                                    <w:right w:val="none" w:sz="0" w:space="0" w:color="auto"/>
                                  </w:divBdr>
                                  <w:divsChild>
                                    <w:div w:id="1273249190">
                                      <w:marLeft w:val="0"/>
                                      <w:marRight w:val="0"/>
                                      <w:marTop w:val="0"/>
                                      <w:marBottom w:val="0"/>
                                      <w:divBdr>
                                        <w:top w:val="none" w:sz="0" w:space="0" w:color="auto"/>
                                        <w:left w:val="none" w:sz="0" w:space="0" w:color="auto"/>
                                        <w:bottom w:val="none" w:sz="0" w:space="0" w:color="auto"/>
                                        <w:right w:val="none" w:sz="0" w:space="0" w:color="auto"/>
                                      </w:divBdr>
                                      <w:divsChild>
                                        <w:div w:id="1694072456">
                                          <w:marLeft w:val="0"/>
                                          <w:marRight w:val="0"/>
                                          <w:marTop w:val="0"/>
                                          <w:marBottom w:val="0"/>
                                          <w:divBdr>
                                            <w:top w:val="none" w:sz="0" w:space="0" w:color="auto"/>
                                            <w:left w:val="none" w:sz="0" w:space="0" w:color="auto"/>
                                            <w:bottom w:val="none" w:sz="0" w:space="0" w:color="auto"/>
                                            <w:right w:val="none" w:sz="0" w:space="0" w:color="auto"/>
                                          </w:divBdr>
                                          <w:divsChild>
                                            <w:div w:id="516043282">
                                              <w:marLeft w:val="0"/>
                                              <w:marRight w:val="0"/>
                                              <w:marTop w:val="0"/>
                                              <w:marBottom w:val="0"/>
                                              <w:divBdr>
                                                <w:top w:val="none" w:sz="0" w:space="0" w:color="auto"/>
                                                <w:left w:val="none" w:sz="0" w:space="0" w:color="auto"/>
                                                <w:bottom w:val="none" w:sz="0" w:space="0" w:color="auto"/>
                                                <w:right w:val="none" w:sz="0" w:space="0" w:color="auto"/>
                                              </w:divBdr>
                                              <w:divsChild>
                                                <w:div w:id="873469824">
                                                  <w:marLeft w:val="0"/>
                                                  <w:marRight w:val="0"/>
                                                  <w:marTop w:val="0"/>
                                                  <w:marBottom w:val="0"/>
                                                  <w:divBdr>
                                                    <w:top w:val="none" w:sz="0" w:space="0" w:color="auto"/>
                                                    <w:left w:val="none" w:sz="0" w:space="0" w:color="auto"/>
                                                    <w:bottom w:val="none" w:sz="0" w:space="0" w:color="auto"/>
                                                    <w:right w:val="none" w:sz="0" w:space="0" w:color="auto"/>
                                                  </w:divBdr>
                                                  <w:divsChild>
                                                    <w:div w:id="886601671">
                                                      <w:marLeft w:val="0"/>
                                                      <w:marRight w:val="0"/>
                                                      <w:marTop w:val="0"/>
                                                      <w:marBottom w:val="0"/>
                                                      <w:divBdr>
                                                        <w:top w:val="none" w:sz="0" w:space="0" w:color="auto"/>
                                                        <w:left w:val="none" w:sz="0" w:space="0" w:color="auto"/>
                                                        <w:bottom w:val="none" w:sz="0" w:space="0" w:color="auto"/>
                                                        <w:right w:val="none" w:sz="0" w:space="0" w:color="auto"/>
                                                      </w:divBdr>
                                                      <w:divsChild>
                                                        <w:div w:id="1658609108">
                                                          <w:marLeft w:val="0"/>
                                                          <w:marRight w:val="0"/>
                                                          <w:marTop w:val="0"/>
                                                          <w:marBottom w:val="0"/>
                                                          <w:divBdr>
                                                            <w:top w:val="none" w:sz="0" w:space="0" w:color="auto"/>
                                                            <w:left w:val="none" w:sz="0" w:space="0" w:color="auto"/>
                                                            <w:bottom w:val="none" w:sz="0" w:space="0" w:color="auto"/>
                                                            <w:right w:val="none" w:sz="0" w:space="0" w:color="auto"/>
                                                          </w:divBdr>
                                                          <w:divsChild>
                                                            <w:div w:id="1092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2188518">
      <w:bodyDiv w:val="1"/>
      <w:marLeft w:val="0"/>
      <w:marRight w:val="0"/>
      <w:marTop w:val="0"/>
      <w:marBottom w:val="0"/>
      <w:divBdr>
        <w:top w:val="none" w:sz="0" w:space="0" w:color="auto"/>
        <w:left w:val="none" w:sz="0" w:space="0" w:color="auto"/>
        <w:bottom w:val="none" w:sz="0" w:space="0" w:color="auto"/>
        <w:right w:val="none" w:sz="0" w:space="0" w:color="auto"/>
      </w:divBdr>
      <w:divsChild>
        <w:div w:id="1417365835">
          <w:marLeft w:val="0"/>
          <w:marRight w:val="0"/>
          <w:marTop w:val="0"/>
          <w:marBottom w:val="0"/>
          <w:divBdr>
            <w:top w:val="none" w:sz="0" w:space="0" w:color="auto"/>
            <w:left w:val="none" w:sz="0" w:space="0" w:color="auto"/>
            <w:bottom w:val="none" w:sz="0" w:space="0" w:color="auto"/>
            <w:right w:val="none" w:sz="0" w:space="0" w:color="auto"/>
          </w:divBdr>
          <w:divsChild>
            <w:div w:id="1232934258">
              <w:marLeft w:val="0"/>
              <w:marRight w:val="0"/>
              <w:marTop w:val="0"/>
              <w:marBottom w:val="0"/>
              <w:divBdr>
                <w:top w:val="none" w:sz="0" w:space="0" w:color="auto"/>
                <w:left w:val="none" w:sz="0" w:space="0" w:color="auto"/>
                <w:bottom w:val="none" w:sz="0" w:space="0" w:color="auto"/>
                <w:right w:val="none" w:sz="0" w:space="0" w:color="auto"/>
              </w:divBdr>
              <w:divsChild>
                <w:div w:id="730007187">
                  <w:marLeft w:val="0"/>
                  <w:marRight w:val="0"/>
                  <w:marTop w:val="0"/>
                  <w:marBottom w:val="0"/>
                  <w:divBdr>
                    <w:top w:val="none" w:sz="0" w:space="0" w:color="auto"/>
                    <w:left w:val="none" w:sz="0" w:space="0" w:color="auto"/>
                    <w:bottom w:val="none" w:sz="0" w:space="0" w:color="auto"/>
                    <w:right w:val="none" w:sz="0" w:space="0" w:color="auto"/>
                  </w:divBdr>
                  <w:divsChild>
                    <w:div w:id="2011132603">
                      <w:marLeft w:val="0"/>
                      <w:marRight w:val="0"/>
                      <w:marTop w:val="0"/>
                      <w:marBottom w:val="0"/>
                      <w:divBdr>
                        <w:top w:val="none" w:sz="0" w:space="0" w:color="auto"/>
                        <w:left w:val="none" w:sz="0" w:space="0" w:color="auto"/>
                        <w:bottom w:val="none" w:sz="0" w:space="0" w:color="auto"/>
                        <w:right w:val="none" w:sz="0" w:space="0" w:color="auto"/>
                      </w:divBdr>
                      <w:divsChild>
                        <w:div w:id="647396581">
                          <w:marLeft w:val="0"/>
                          <w:marRight w:val="0"/>
                          <w:marTop w:val="0"/>
                          <w:marBottom w:val="0"/>
                          <w:divBdr>
                            <w:top w:val="none" w:sz="0" w:space="0" w:color="auto"/>
                            <w:left w:val="none" w:sz="0" w:space="0" w:color="auto"/>
                            <w:bottom w:val="none" w:sz="0" w:space="0" w:color="auto"/>
                            <w:right w:val="none" w:sz="0" w:space="0" w:color="auto"/>
                          </w:divBdr>
                          <w:divsChild>
                            <w:div w:id="383797284">
                              <w:marLeft w:val="0"/>
                              <w:marRight w:val="0"/>
                              <w:marTop w:val="0"/>
                              <w:marBottom w:val="0"/>
                              <w:divBdr>
                                <w:top w:val="none" w:sz="0" w:space="0" w:color="auto"/>
                                <w:left w:val="none" w:sz="0" w:space="0" w:color="auto"/>
                                <w:bottom w:val="none" w:sz="0" w:space="0" w:color="auto"/>
                                <w:right w:val="none" w:sz="0" w:space="0" w:color="auto"/>
                              </w:divBdr>
                              <w:divsChild>
                                <w:div w:id="1109472043">
                                  <w:marLeft w:val="0"/>
                                  <w:marRight w:val="0"/>
                                  <w:marTop w:val="0"/>
                                  <w:marBottom w:val="0"/>
                                  <w:divBdr>
                                    <w:top w:val="none" w:sz="0" w:space="0" w:color="auto"/>
                                    <w:left w:val="none" w:sz="0" w:space="0" w:color="auto"/>
                                    <w:bottom w:val="none" w:sz="0" w:space="0" w:color="auto"/>
                                    <w:right w:val="none" w:sz="0" w:space="0" w:color="auto"/>
                                  </w:divBdr>
                                  <w:divsChild>
                                    <w:div w:id="662125590">
                                      <w:marLeft w:val="0"/>
                                      <w:marRight w:val="0"/>
                                      <w:marTop w:val="0"/>
                                      <w:marBottom w:val="0"/>
                                      <w:divBdr>
                                        <w:top w:val="none" w:sz="0" w:space="0" w:color="auto"/>
                                        <w:left w:val="none" w:sz="0" w:space="0" w:color="auto"/>
                                        <w:bottom w:val="none" w:sz="0" w:space="0" w:color="auto"/>
                                        <w:right w:val="none" w:sz="0" w:space="0" w:color="auto"/>
                                      </w:divBdr>
                                      <w:divsChild>
                                        <w:div w:id="1985548290">
                                          <w:marLeft w:val="0"/>
                                          <w:marRight w:val="0"/>
                                          <w:marTop w:val="0"/>
                                          <w:marBottom w:val="0"/>
                                          <w:divBdr>
                                            <w:top w:val="none" w:sz="0" w:space="0" w:color="auto"/>
                                            <w:left w:val="none" w:sz="0" w:space="0" w:color="auto"/>
                                            <w:bottom w:val="none" w:sz="0" w:space="0" w:color="auto"/>
                                            <w:right w:val="none" w:sz="0" w:space="0" w:color="auto"/>
                                          </w:divBdr>
                                          <w:divsChild>
                                            <w:div w:id="1460807672">
                                              <w:marLeft w:val="0"/>
                                              <w:marRight w:val="0"/>
                                              <w:marTop w:val="0"/>
                                              <w:marBottom w:val="0"/>
                                              <w:divBdr>
                                                <w:top w:val="none" w:sz="0" w:space="0" w:color="auto"/>
                                                <w:left w:val="none" w:sz="0" w:space="0" w:color="auto"/>
                                                <w:bottom w:val="none" w:sz="0" w:space="0" w:color="auto"/>
                                                <w:right w:val="none" w:sz="0" w:space="0" w:color="auto"/>
                                              </w:divBdr>
                                              <w:divsChild>
                                                <w:div w:id="1523400747">
                                                  <w:marLeft w:val="0"/>
                                                  <w:marRight w:val="0"/>
                                                  <w:marTop w:val="0"/>
                                                  <w:marBottom w:val="0"/>
                                                  <w:divBdr>
                                                    <w:top w:val="none" w:sz="0" w:space="0" w:color="auto"/>
                                                    <w:left w:val="none" w:sz="0" w:space="0" w:color="auto"/>
                                                    <w:bottom w:val="none" w:sz="0" w:space="0" w:color="auto"/>
                                                    <w:right w:val="none" w:sz="0" w:space="0" w:color="auto"/>
                                                  </w:divBdr>
                                                  <w:divsChild>
                                                    <w:div w:id="2059085492">
                                                      <w:marLeft w:val="0"/>
                                                      <w:marRight w:val="0"/>
                                                      <w:marTop w:val="0"/>
                                                      <w:marBottom w:val="0"/>
                                                      <w:divBdr>
                                                        <w:top w:val="none" w:sz="0" w:space="0" w:color="auto"/>
                                                        <w:left w:val="none" w:sz="0" w:space="0" w:color="auto"/>
                                                        <w:bottom w:val="none" w:sz="0" w:space="0" w:color="auto"/>
                                                        <w:right w:val="none" w:sz="0" w:space="0" w:color="auto"/>
                                                      </w:divBdr>
                                                      <w:divsChild>
                                                        <w:div w:id="687364499">
                                                          <w:marLeft w:val="0"/>
                                                          <w:marRight w:val="0"/>
                                                          <w:marTop w:val="0"/>
                                                          <w:marBottom w:val="0"/>
                                                          <w:divBdr>
                                                            <w:top w:val="none" w:sz="0" w:space="0" w:color="auto"/>
                                                            <w:left w:val="none" w:sz="0" w:space="0" w:color="auto"/>
                                                            <w:bottom w:val="none" w:sz="0" w:space="0" w:color="auto"/>
                                                            <w:right w:val="none" w:sz="0" w:space="0" w:color="auto"/>
                                                          </w:divBdr>
                                                          <w:divsChild>
                                                            <w:div w:id="1445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2688E-8103-4B68-93B8-D67F08B9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楊美雪</dc:creator>
  <cp:lastModifiedBy>楊美雪(事業發展部,科長)</cp:lastModifiedBy>
  <cp:revision>3</cp:revision>
  <cp:lastPrinted>2023-01-10T01:34:00Z</cp:lastPrinted>
  <dcterms:created xsi:type="dcterms:W3CDTF">2023-02-01T01:19:00Z</dcterms:created>
  <dcterms:modified xsi:type="dcterms:W3CDTF">2023-02-01T01:20:00Z</dcterms:modified>
</cp:coreProperties>
</file>