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5E445" w14:textId="41886436" w:rsidR="00B2331A" w:rsidRPr="0020773C" w:rsidRDefault="001235F5" w:rsidP="0037663C">
      <w:pPr>
        <w:kinsoku w:val="0"/>
        <w:overflowPunct w:val="0"/>
        <w:autoSpaceDE w:val="0"/>
        <w:autoSpaceDN w:val="0"/>
        <w:spacing w:beforeLines="50" w:before="180" w:afterLines="100" w:after="360" w:line="300" w:lineRule="exact"/>
        <w:ind w:leftChars="5" w:left="14" w:rightChars="15" w:right="36" w:hanging="2"/>
        <w:jc w:val="both"/>
        <w:rPr>
          <w:rFonts w:ascii="Times New Roman" w:hAnsi="Times New Roman" w:cs="Times New Roman"/>
          <w:b/>
          <w:color w:val="000000" w:themeColor="text1"/>
          <w:sz w:val="32"/>
          <w:szCs w:val="32"/>
        </w:rPr>
      </w:pPr>
      <w:r w:rsidRPr="0020773C">
        <w:rPr>
          <w:rFonts w:ascii="Times New Roman" w:hAnsi="Times New Roman" w:cs="Times New Roman"/>
          <w:b/>
          <w:sz w:val="30"/>
          <w:szCs w:val="30"/>
        </w:rPr>
        <w:t>Mega Holdings Group Guidelines for the Management of ESG/Sustainability-Related Industries and High-Risk Industries</w:t>
      </w:r>
    </w:p>
    <w:p w14:paraId="04F32CC5" w14:textId="435C4FB4" w:rsidR="00B2331A" w:rsidRPr="0020773C" w:rsidRDefault="00681612" w:rsidP="0037663C">
      <w:pPr>
        <w:pStyle w:val="Default"/>
        <w:spacing w:line="300" w:lineRule="exact"/>
        <w:jc w:val="right"/>
        <w:rPr>
          <w:rFonts w:ascii="Times New Roman" w:eastAsiaTheme="minorEastAsia" w:hAnsi="Times New Roman" w:cs="Times New Roman"/>
          <w:color w:val="000000" w:themeColor="text1"/>
        </w:rPr>
      </w:pPr>
      <w:r w:rsidRPr="0020773C">
        <w:rPr>
          <w:rFonts w:ascii="Times New Roman" w:hAnsi="Times New Roman" w:cs="Times New Roman"/>
          <w:color w:val="000000" w:themeColor="text1"/>
          <w:sz w:val="20"/>
          <w:szCs w:val="20"/>
        </w:rPr>
        <w:t>Approved by the President on May 25, 2022</w:t>
      </w:r>
    </w:p>
    <w:p w14:paraId="6E7E33AA" w14:textId="1FAC9417" w:rsidR="001A53E3" w:rsidRPr="0020773C" w:rsidRDefault="00C749BB" w:rsidP="0037663C">
      <w:pPr>
        <w:pStyle w:val="Default"/>
        <w:tabs>
          <w:tab w:val="left" w:pos="1176"/>
        </w:tabs>
        <w:spacing w:line="300" w:lineRule="exact"/>
        <w:jc w:val="both"/>
        <w:rPr>
          <w:rFonts w:ascii="Times New Roman" w:eastAsiaTheme="minorEastAsia" w:hAnsi="Times New Roman" w:cs="Times New Roman"/>
          <w:sz w:val="26"/>
          <w:szCs w:val="26"/>
        </w:rPr>
      </w:pPr>
      <w:r w:rsidRPr="0020773C">
        <w:rPr>
          <w:rFonts w:ascii="Times New Roman" w:hAnsi="Times New Roman" w:cs="Times New Roman"/>
          <w:sz w:val="26"/>
          <w:szCs w:val="26"/>
        </w:rPr>
        <w:t xml:space="preserve">Article 1 </w:t>
      </w:r>
      <w:r w:rsidRPr="0020773C">
        <w:rPr>
          <w:rFonts w:ascii="Times New Roman" w:hAnsi="Times New Roman" w:cs="Times New Roman"/>
          <w:sz w:val="26"/>
          <w:szCs w:val="26"/>
        </w:rPr>
        <w:tab/>
        <w:t>(Formulation purpose)</w:t>
      </w:r>
    </w:p>
    <w:p w14:paraId="7A90F139" w14:textId="259D89D8" w:rsidR="001A53E3" w:rsidRPr="0020773C" w:rsidRDefault="008C490C" w:rsidP="0037663C">
      <w:pPr>
        <w:pStyle w:val="Default"/>
        <w:spacing w:afterLines="50" w:after="180" w:line="300" w:lineRule="exact"/>
        <w:ind w:left="1190" w:hanging="2"/>
        <w:jc w:val="both"/>
        <w:rPr>
          <w:rFonts w:ascii="Times New Roman" w:eastAsiaTheme="minorEastAsia" w:hAnsi="Times New Roman" w:cs="Times New Roman"/>
          <w:sz w:val="26"/>
          <w:szCs w:val="26"/>
        </w:rPr>
      </w:pPr>
      <w:r w:rsidRPr="0020773C">
        <w:rPr>
          <w:rFonts w:ascii="Times New Roman" w:hAnsi="Times New Roman" w:cs="Times New Roman"/>
          <w:sz w:val="26"/>
          <w:szCs w:val="26"/>
        </w:rPr>
        <w:t>These Guidelines are established to support industries that focus on green and sustainable development and to guide subsidiaries of Mega Holdings Group in monitoring the ESG risks of counterparties, in considering ESG factors when making decisions about a transaction, and in integrating a product review mechanism into decision-makings with respect to credit lending, investments, and insurance.</w:t>
      </w:r>
    </w:p>
    <w:p w14:paraId="25830A46" w14:textId="481F958C" w:rsidR="001A53E3" w:rsidRPr="0020773C" w:rsidRDefault="00C749BB" w:rsidP="0037663C">
      <w:pPr>
        <w:pStyle w:val="Default"/>
        <w:tabs>
          <w:tab w:val="left" w:pos="1176"/>
        </w:tabs>
        <w:spacing w:line="300" w:lineRule="exact"/>
        <w:jc w:val="both"/>
        <w:rPr>
          <w:rFonts w:ascii="Times New Roman" w:eastAsiaTheme="minorEastAsia" w:hAnsi="Times New Roman" w:cs="Times New Roman"/>
          <w:sz w:val="26"/>
          <w:szCs w:val="26"/>
        </w:rPr>
      </w:pPr>
      <w:r w:rsidRPr="0020773C">
        <w:rPr>
          <w:rFonts w:ascii="Times New Roman" w:hAnsi="Times New Roman" w:cs="Times New Roman"/>
          <w:sz w:val="26"/>
          <w:szCs w:val="26"/>
        </w:rPr>
        <w:t xml:space="preserve">Article 2 </w:t>
      </w:r>
      <w:r w:rsidRPr="0020773C">
        <w:rPr>
          <w:rFonts w:ascii="Times New Roman" w:hAnsi="Times New Roman" w:cs="Times New Roman"/>
          <w:sz w:val="26"/>
          <w:szCs w:val="26"/>
        </w:rPr>
        <w:tab/>
        <w:t>(Responsible Unit)</w:t>
      </w:r>
    </w:p>
    <w:p w14:paraId="2F2DEEEE" w14:textId="77777777" w:rsidR="001A53E3" w:rsidRPr="0020773C" w:rsidRDefault="001A53E3" w:rsidP="0037663C">
      <w:pPr>
        <w:pStyle w:val="Default"/>
        <w:spacing w:afterLines="50" w:after="180" w:line="300" w:lineRule="exact"/>
        <w:ind w:left="1190" w:hanging="2"/>
        <w:jc w:val="both"/>
        <w:rPr>
          <w:rFonts w:ascii="Times New Roman" w:eastAsiaTheme="minorEastAsia" w:hAnsi="Times New Roman" w:cs="Times New Roman"/>
          <w:sz w:val="26"/>
          <w:szCs w:val="26"/>
        </w:rPr>
      </w:pPr>
      <w:r w:rsidRPr="0020773C">
        <w:rPr>
          <w:rFonts w:ascii="Times New Roman" w:hAnsi="Times New Roman" w:cs="Times New Roman"/>
          <w:sz w:val="26"/>
          <w:szCs w:val="26"/>
        </w:rPr>
        <w:t>The responsible department of the Guidelines is the Business Development Department</w:t>
      </w:r>
    </w:p>
    <w:p w14:paraId="1033EF97" w14:textId="7FDB3E6D" w:rsidR="001A53E3" w:rsidRPr="0020773C" w:rsidRDefault="00C749BB" w:rsidP="0037663C">
      <w:pPr>
        <w:pStyle w:val="Default"/>
        <w:tabs>
          <w:tab w:val="left" w:pos="1176"/>
        </w:tabs>
        <w:spacing w:line="300" w:lineRule="exact"/>
        <w:jc w:val="both"/>
        <w:rPr>
          <w:rFonts w:ascii="Times New Roman" w:eastAsiaTheme="minorEastAsia" w:hAnsi="Times New Roman" w:cs="Times New Roman"/>
          <w:sz w:val="26"/>
          <w:szCs w:val="26"/>
        </w:rPr>
      </w:pPr>
      <w:r w:rsidRPr="0020773C">
        <w:rPr>
          <w:rFonts w:ascii="Times New Roman" w:hAnsi="Times New Roman" w:cs="Times New Roman"/>
          <w:sz w:val="26"/>
          <w:szCs w:val="26"/>
        </w:rPr>
        <w:t xml:space="preserve">Article 3 </w:t>
      </w:r>
      <w:r w:rsidRPr="0020773C">
        <w:rPr>
          <w:rFonts w:ascii="Times New Roman" w:hAnsi="Times New Roman" w:cs="Times New Roman"/>
          <w:sz w:val="26"/>
          <w:szCs w:val="26"/>
        </w:rPr>
        <w:tab/>
        <w:t>(Applicability)</w:t>
      </w:r>
    </w:p>
    <w:p w14:paraId="284FFD0C" w14:textId="77777777" w:rsidR="00D91CB7" w:rsidRPr="0020773C" w:rsidRDefault="00D91CB7" w:rsidP="0037663C">
      <w:pPr>
        <w:pStyle w:val="Default"/>
        <w:spacing w:line="300" w:lineRule="exact"/>
        <w:ind w:left="1191"/>
        <w:jc w:val="both"/>
        <w:rPr>
          <w:rFonts w:ascii="Times New Roman" w:eastAsiaTheme="minorEastAsia" w:hAnsi="Times New Roman" w:cs="Times New Roman"/>
          <w:color w:val="000000" w:themeColor="text1"/>
          <w:sz w:val="26"/>
          <w:szCs w:val="26"/>
        </w:rPr>
      </w:pPr>
      <w:r w:rsidRPr="0020773C">
        <w:rPr>
          <w:rFonts w:ascii="Times New Roman" w:hAnsi="Times New Roman" w:cs="Times New Roman"/>
          <w:color w:val="000000" w:themeColor="text1"/>
          <w:sz w:val="26"/>
          <w:szCs w:val="26"/>
        </w:rPr>
        <w:t>These Guidelines are applicable to the subsidiaries of the Company.</w:t>
      </w:r>
    </w:p>
    <w:p w14:paraId="337B2024" w14:textId="1FAB7BB8" w:rsidR="001A53E3" w:rsidRPr="0020773C" w:rsidRDefault="00D91CB7" w:rsidP="0037663C">
      <w:pPr>
        <w:pStyle w:val="Default"/>
        <w:spacing w:afterLines="50" w:after="180" w:line="300" w:lineRule="exact"/>
        <w:ind w:left="1204" w:hanging="1"/>
        <w:jc w:val="both"/>
        <w:rPr>
          <w:rFonts w:ascii="Times New Roman" w:eastAsiaTheme="minorEastAsia" w:hAnsi="Times New Roman" w:cs="Times New Roman"/>
          <w:sz w:val="26"/>
          <w:szCs w:val="26"/>
        </w:rPr>
      </w:pPr>
      <w:r w:rsidRPr="0020773C">
        <w:rPr>
          <w:rFonts w:ascii="Times New Roman" w:hAnsi="Times New Roman" w:cs="Times New Roman"/>
          <w:color w:val="000000" w:themeColor="text1"/>
          <w:sz w:val="26"/>
          <w:szCs w:val="26"/>
        </w:rPr>
        <w:t>"Subsidiaries" in the preceding paragraph refers to other companies in which the Company directly holds over 50% of shares with voting rights or total capital, or over half of all directors are directly appointed by the Company.</w:t>
      </w:r>
    </w:p>
    <w:p w14:paraId="7DC63FEF" w14:textId="48534F94" w:rsidR="00420A65" w:rsidRPr="0020773C" w:rsidRDefault="00C749BB" w:rsidP="0037663C">
      <w:pPr>
        <w:pStyle w:val="Default"/>
        <w:tabs>
          <w:tab w:val="left" w:pos="1176"/>
        </w:tabs>
        <w:spacing w:line="300" w:lineRule="exact"/>
        <w:jc w:val="both"/>
        <w:rPr>
          <w:rFonts w:ascii="Times New Roman" w:eastAsiaTheme="minorEastAsia" w:hAnsi="Times New Roman" w:cs="Times New Roman"/>
          <w:sz w:val="26"/>
          <w:szCs w:val="26"/>
        </w:rPr>
      </w:pPr>
      <w:r w:rsidRPr="0020773C">
        <w:rPr>
          <w:rFonts w:ascii="Times New Roman" w:hAnsi="Times New Roman" w:cs="Times New Roman"/>
          <w:sz w:val="26"/>
          <w:szCs w:val="26"/>
        </w:rPr>
        <w:t xml:space="preserve">Article 4 </w:t>
      </w:r>
      <w:r w:rsidRPr="0020773C">
        <w:rPr>
          <w:rFonts w:ascii="Times New Roman" w:hAnsi="Times New Roman" w:cs="Times New Roman"/>
          <w:sz w:val="26"/>
          <w:szCs w:val="26"/>
        </w:rPr>
        <w:tab/>
        <w:t>(Applicability)</w:t>
      </w:r>
    </w:p>
    <w:p w14:paraId="398FAC89" w14:textId="134F0D3F" w:rsidR="00420A65" w:rsidRPr="0020773C" w:rsidRDefault="00182ECB" w:rsidP="0037663C">
      <w:pPr>
        <w:pStyle w:val="Default"/>
        <w:spacing w:afterLines="50" w:after="180" w:line="300" w:lineRule="exact"/>
        <w:ind w:left="1191"/>
        <w:jc w:val="both"/>
        <w:rPr>
          <w:rFonts w:ascii="Times New Roman" w:eastAsiaTheme="minorEastAsia" w:hAnsi="Times New Roman" w:cs="Times New Roman"/>
          <w:color w:val="000000" w:themeColor="text1"/>
          <w:sz w:val="26"/>
          <w:szCs w:val="26"/>
        </w:rPr>
      </w:pPr>
      <w:r w:rsidRPr="0020773C">
        <w:rPr>
          <w:rFonts w:ascii="Times New Roman" w:hAnsi="Times New Roman" w:cs="Times New Roman"/>
          <w:color w:val="000000" w:themeColor="text1"/>
          <w:sz w:val="26"/>
          <w:szCs w:val="26"/>
        </w:rPr>
        <w:t>These Guidelines are applicable to new or renewal applications received by the subsidiaries.</w:t>
      </w:r>
    </w:p>
    <w:p w14:paraId="3D294853" w14:textId="2E26C0A8" w:rsidR="001235F5" w:rsidRPr="0020773C" w:rsidRDefault="00C749BB" w:rsidP="0037663C">
      <w:pPr>
        <w:pStyle w:val="Default"/>
        <w:tabs>
          <w:tab w:val="left" w:pos="1176"/>
        </w:tabs>
        <w:spacing w:line="300" w:lineRule="exact"/>
        <w:ind w:left="1175" w:hangingChars="452" w:hanging="1175"/>
        <w:jc w:val="both"/>
        <w:rPr>
          <w:rFonts w:ascii="Times New Roman" w:eastAsiaTheme="minorEastAsia" w:hAnsi="Times New Roman" w:cs="Times New Roman"/>
          <w:sz w:val="26"/>
          <w:szCs w:val="26"/>
        </w:rPr>
      </w:pPr>
      <w:r w:rsidRPr="0020773C">
        <w:rPr>
          <w:rFonts w:ascii="Times New Roman" w:hAnsi="Times New Roman" w:cs="Times New Roman"/>
          <w:sz w:val="26"/>
          <w:szCs w:val="26"/>
        </w:rPr>
        <w:t xml:space="preserve">Article 5 </w:t>
      </w:r>
      <w:r w:rsidRPr="0020773C">
        <w:rPr>
          <w:rFonts w:ascii="Times New Roman" w:hAnsi="Times New Roman" w:cs="Times New Roman"/>
          <w:sz w:val="26"/>
          <w:szCs w:val="26"/>
        </w:rPr>
        <w:tab/>
        <w:t>(Supporting industries or entities involved in green and sustainable development)</w:t>
      </w:r>
    </w:p>
    <w:p w14:paraId="2579A3EF" w14:textId="45EB1FD2" w:rsidR="00182ECB" w:rsidRPr="0020773C" w:rsidRDefault="008C490C" w:rsidP="0037663C">
      <w:pPr>
        <w:pStyle w:val="Default"/>
        <w:spacing w:line="300" w:lineRule="exact"/>
        <w:ind w:left="1191"/>
        <w:jc w:val="both"/>
        <w:rPr>
          <w:rFonts w:ascii="Times New Roman" w:eastAsiaTheme="minorEastAsia" w:hAnsi="Times New Roman" w:cs="Times New Roman"/>
          <w:sz w:val="26"/>
          <w:szCs w:val="26"/>
        </w:rPr>
      </w:pPr>
      <w:r w:rsidRPr="0020773C">
        <w:rPr>
          <w:rFonts w:ascii="Times New Roman" w:hAnsi="Times New Roman" w:cs="Times New Roman"/>
          <w:sz w:val="26"/>
          <w:szCs w:val="26"/>
        </w:rPr>
        <w:t>Each subsidiary shall proactively support the following environmentally friendly or socially responsible businesses in developing and providing products and services relevant to green and sustainable development:</w:t>
      </w:r>
    </w:p>
    <w:p w14:paraId="21375559" w14:textId="584C35E4" w:rsidR="001235F5" w:rsidRPr="0020773C" w:rsidRDefault="00681612" w:rsidP="0037663C">
      <w:pPr>
        <w:tabs>
          <w:tab w:val="left" w:pos="1792"/>
        </w:tabs>
        <w:autoSpaceDE w:val="0"/>
        <w:autoSpaceDN w:val="0"/>
        <w:adjustRightInd w:val="0"/>
        <w:spacing w:line="300" w:lineRule="exact"/>
        <w:ind w:left="1806" w:hanging="490"/>
        <w:jc w:val="both"/>
        <w:rPr>
          <w:rFonts w:ascii="Times New Roman" w:hAnsi="Times New Roman" w:cs="Times New Roman"/>
          <w:color w:val="000000" w:themeColor="text1"/>
          <w:kern w:val="0"/>
          <w:sz w:val="26"/>
          <w:szCs w:val="26"/>
        </w:rPr>
      </w:pPr>
      <w:r w:rsidRPr="0020773C">
        <w:rPr>
          <w:rFonts w:ascii="Times New Roman" w:hAnsi="Times New Roman" w:cs="Times New Roman"/>
          <w:color w:val="000000" w:themeColor="text1"/>
          <w:sz w:val="26"/>
          <w:szCs w:val="26"/>
        </w:rPr>
        <w:t>I.</w:t>
      </w:r>
      <w:r w:rsidRPr="0020773C">
        <w:rPr>
          <w:rFonts w:ascii="Times New Roman" w:hAnsi="Times New Roman" w:cs="Times New Roman"/>
          <w:color w:val="000000" w:themeColor="text1"/>
          <w:sz w:val="26"/>
          <w:szCs w:val="26"/>
        </w:rPr>
        <w:tab/>
        <w:t>Industries involved in solar energy, wind energy, geothermal energy, hydroelectric power, and ocean energy, etc.</w:t>
      </w:r>
    </w:p>
    <w:p w14:paraId="33007974" w14:textId="2E6434B7" w:rsidR="00D1313D" w:rsidRPr="0020773C" w:rsidRDefault="00681612" w:rsidP="0037663C">
      <w:pPr>
        <w:tabs>
          <w:tab w:val="left" w:pos="1792"/>
        </w:tabs>
        <w:autoSpaceDE w:val="0"/>
        <w:autoSpaceDN w:val="0"/>
        <w:adjustRightInd w:val="0"/>
        <w:spacing w:line="300" w:lineRule="exact"/>
        <w:ind w:left="1806" w:hanging="490"/>
        <w:jc w:val="both"/>
        <w:rPr>
          <w:rFonts w:ascii="Times New Roman" w:hAnsi="Times New Roman" w:cs="Times New Roman"/>
          <w:color w:val="000000" w:themeColor="text1"/>
          <w:kern w:val="0"/>
          <w:sz w:val="26"/>
          <w:szCs w:val="26"/>
        </w:rPr>
      </w:pPr>
      <w:r w:rsidRPr="0020773C">
        <w:rPr>
          <w:rFonts w:ascii="Times New Roman" w:hAnsi="Times New Roman" w:cs="Times New Roman"/>
          <w:color w:val="000000" w:themeColor="text1"/>
          <w:sz w:val="26"/>
          <w:szCs w:val="26"/>
        </w:rPr>
        <w:t xml:space="preserve">II. </w:t>
      </w:r>
      <w:r w:rsidRPr="0020773C">
        <w:rPr>
          <w:rFonts w:ascii="Times New Roman" w:hAnsi="Times New Roman" w:cs="Times New Roman"/>
          <w:color w:val="000000" w:themeColor="text1"/>
          <w:sz w:val="26"/>
          <w:szCs w:val="26"/>
        </w:rPr>
        <w:tab/>
      </w:r>
      <w:bookmarkStart w:id="0" w:name="_GoBack"/>
      <w:r w:rsidR="00C55CDC" w:rsidRPr="00C55CDC">
        <w:rPr>
          <w:rFonts w:ascii="Times New Roman" w:hAnsi="Times New Roman" w:cs="Times New Roman"/>
          <w:color w:val="000000" w:themeColor="text1"/>
          <w:sz w:val="26"/>
          <w:szCs w:val="26"/>
        </w:rPr>
        <w:t>Industries</w:t>
      </w:r>
      <w:r w:rsidR="00901585" w:rsidRPr="00C55CDC">
        <w:rPr>
          <w:rFonts w:ascii="Times New Roman" w:hAnsi="Times New Roman" w:cs="Times New Roman"/>
          <w:color w:val="000000" w:themeColor="text1"/>
          <w:sz w:val="26"/>
          <w:szCs w:val="26"/>
        </w:rPr>
        <w:t xml:space="preserve"> focused on increased electricity </w:t>
      </w:r>
      <w:proofErr w:type="gramStart"/>
      <w:r w:rsidR="00901585" w:rsidRPr="00C55CDC">
        <w:rPr>
          <w:rFonts w:ascii="Times New Roman" w:hAnsi="Times New Roman" w:cs="Times New Roman"/>
          <w:color w:val="000000" w:themeColor="text1"/>
          <w:sz w:val="26"/>
          <w:szCs w:val="26"/>
        </w:rPr>
        <w:t xml:space="preserve">generation </w:t>
      </w:r>
      <w:r w:rsidR="00C55CDC" w:rsidRPr="00C55CDC">
        <w:rPr>
          <w:rFonts w:ascii="Times New Roman" w:hAnsi="Times New Roman" w:cs="Times New Roman"/>
          <w:color w:val="000000" w:themeColor="text1"/>
          <w:sz w:val="26"/>
          <w:szCs w:val="26"/>
        </w:rPr>
        <w:t xml:space="preserve"> efficiency</w:t>
      </w:r>
      <w:proofErr w:type="gramEnd"/>
      <w:r w:rsidR="00C55CDC" w:rsidRPr="00C55CDC">
        <w:rPr>
          <w:rFonts w:ascii="Times New Roman" w:hAnsi="Times New Roman" w:cs="Times New Roman"/>
          <w:color w:val="000000" w:themeColor="text1"/>
          <w:sz w:val="26"/>
          <w:szCs w:val="26"/>
        </w:rPr>
        <w:t xml:space="preserve"> or</w:t>
      </w:r>
      <w:r w:rsidR="00901585" w:rsidRPr="00C55CDC">
        <w:rPr>
          <w:rFonts w:ascii="Times New Roman" w:hAnsi="Times New Roman" w:cs="Times New Roman"/>
          <w:color w:val="000000" w:themeColor="text1"/>
          <w:sz w:val="26"/>
          <w:szCs w:val="26"/>
        </w:rPr>
        <w:t xml:space="preserve"> renewable electricity generation, and relevant p</w:t>
      </w:r>
      <w:r w:rsidRPr="00C55CDC">
        <w:rPr>
          <w:rFonts w:ascii="Times New Roman" w:hAnsi="Times New Roman" w:cs="Times New Roman"/>
          <w:color w:val="000000" w:themeColor="text1"/>
          <w:sz w:val="26"/>
          <w:szCs w:val="26"/>
        </w:rPr>
        <w:t>ower transmission, power distribution, and energy storage facilities.</w:t>
      </w:r>
      <w:bookmarkEnd w:id="0"/>
    </w:p>
    <w:p w14:paraId="62D206AE" w14:textId="15DBD7C0" w:rsidR="001235F5" w:rsidRPr="0020773C" w:rsidRDefault="00681612" w:rsidP="0037663C">
      <w:pPr>
        <w:tabs>
          <w:tab w:val="left" w:pos="1792"/>
        </w:tabs>
        <w:autoSpaceDE w:val="0"/>
        <w:autoSpaceDN w:val="0"/>
        <w:adjustRightInd w:val="0"/>
        <w:spacing w:line="300" w:lineRule="exact"/>
        <w:ind w:left="1806" w:hanging="490"/>
        <w:jc w:val="both"/>
        <w:rPr>
          <w:rFonts w:ascii="Times New Roman" w:hAnsi="Times New Roman" w:cs="Times New Roman"/>
          <w:color w:val="000000" w:themeColor="text1"/>
          <w:kern w:val="0"/>
          <w:sz w:val="26"/>
          <w:szCs w:val="26"/>
        </w:rPr>
      </w:pPr>
      <w:r w:rsidRPr="0020773C">
        <w:rPr>
          <w:rFonts w:ascii="Times New Roman" w:hAnsi="Times New Roman" w:cs="Times New Roman"/>
          <w:color w:val="000000" w:themeColor="text1"/>
          <w:sz w:val="26"/>
          <w:szCs w:val="26"/>
        </w:rPr>
        <w:t xml:space="preserve">III. </w:t>
      </w:r>
      <w:r w:rsidRPr="0020773C">
        <w:rPr>
          <w:rFonts w:ascii="Times New Roman" w:hAnsi="Times New Roman" w:cs="Times New Roman"/>
          <w:color w:val="000000" w:themeColor="text1"/>
          <w:sz w:val="26"/>
          <w:szCs w:val="26"/>
        </w:rPr>
        <w:tab/>
        <w:t>Transportation industry involved in public transports and improving the efficiency and conversion of electric-, hydrogen-, and other alternative fossil fuel-powered modes of transportation and passenger and cargo transportation systems.</w:t>
      </w:r>
    </w:p>
    <w:p w14:paraId="2E5728C3" w14:textId="713319F8" w:rsidR="001235F5" w:rsidRPr="0020773C" w:rsidRDefault="00681612" w:rsidP="0037663C">
      <w:pPr>
        <w:tabs>
          <w:tab w:val="left" w:pos="1792"/>
        </w:tabs>
        <w:autoSpaceDE w:val="0"/>
        <w:autoSpaceDN w:val="0"/>
        <w:adjustRightInd w:val="0"/>
        <w:spacing w:line="300" w:lineRule="exact"/>
        <w:ind w:left="1806" w:hanging="490"/>
        <w:jc w:val="both"/>
        <w:rPr>
          <w:rFonts w:ascii="Times New Roman" w:hAnsi="Times New Roman" w:cs="Times New Roman"/>
          <w:color w:val="000000" w:themeColor="text1"/>
          <w:kern w:val="0"/>
          <w:sz w:val="26"/>
          <w:szCs w:val="26"/>
        </w:rPr>
      </w:pPr>
      <w:r w:rsidRPr="0020773C">
        <w:rPr>
          <w:rFonts w:ascii="Times New Roman" w:hAnsi="Times New Roman" w:cs="Times New Roman"/>
          <w:color w:val="000000" w:themeColor="text1"/>
          <w:sz w:val="26"/>
          <w:szCs w:val="26"/>
        </w:rPr>
        <w:t xml:space="preserve">IV. </w:t>
      </w:r>
      <w:r w:rsidRPr="0020773C">
        <w:rPr>
          <w:rFonts w:ascii="Times New Roman" w:hAnsi="Times New Roman" w:cs="Times New Roman"/>
          <w:color w:val="000000" w:themeColor="text1"/>
          <w:sz w:val="26"/>
          <w:szCs w:val="26"/>
        </w:rPr>
        <w:tab/>
        <w:t>Businesses involved in water monitoring smart network and early warning system, water storage, water recycling, flood control/water saving, and other water infrastructure.</w:t>
      </w:r>
    </w:p>
    <w:p w14:paraId="60C39BBA" w14:textId="53444637" w:rsidR="001235F5" w:rsidRPr="0020773C" w:rsidRDefault="00681612" w:rsidP="0037663C">
      <w:pPr>
        <w:tabs>
          <w:tab w:val="left" w:pos="1792"/>
        </w:tabs>
        <w:autoSpaceDE w:val="0"/>
        <w:autoSpaceDN w:val="0"/>
        <w:adjustRightInd w:val="0"/>
        <w:spacing w:line="300" w:lineRule="exact"/>
        <w:ind w:left="1806" w:hanging="490"/>
        <w:jc w:val="both"/>
        <w:rPr>
          <w:rFonts w:ascii="Times New Roman" w:hAnsi="Times New Roman" w:cs="Times New Roman"/>
          <w:color w:val="000000" w:themeColor="text1"/>
          <w:kern w:val="0"/>
          <w:sz w:val="26"/>
          <w:szCs w:val="26"/>
        </w:rPr>
      </w:pPr>
      <w:r w:rsidRPr="0020773C">
        <w:rPr>
          <w:rFonts w:ascii="Times New Roman" w:hAnsi="Times New Roman" w:cs="Times New Roman"/>
          <w:color w:val="000000" w:themeColor="text1"/>
          <w:sz w:val="26"/>
          <w:szCs w:val="26"/>
        </w:rPr>
        <w:t xml:space="preserve">V. </w:t>
      </w:r>
      <w:r w:rsidRPr="0020773C">
        <w:rPr>
          <w:rFonts w:ascii="Times New Roman" w:hAnsi="Times New Roman" w:cs="Times New Roman"/>
          <w:color w:val="000000" w:themeColor="text1"/>
          <w:sz w:val="26"/>
          <w:szCs w:val="26"/>
        </w:rPr>
        <w:tab/>
        <w:t>Construction industry involved in green buildings or energy-saving systems or products for buildings.</w:t>
      </w:r>
    </w:p>
    <w:p w14:paraId="4B3A1512" w14:textId="59F0A2D3" w:rsidR="001235F5" w:rsidRPr="0020773C" w:rsidRDefault="00681612" w:rsidP="0037663C">
      <w:pPr>
        <w:tabs>
          <w:tab w:val="left" w:pos="1792"/>
        </w:tabs>
        <w:autoSpaceDE w:val="0"/>
        <w:autoSpaceDN w:val="0"/>
        <w:adjustRightInd w:val="0"/>
        <w:spacing w:line="300" w:lineRule="exact"/>
        <w:ind w:left="1806" w:hanging="490"/>
        <w:jc w:val="both"/>
        <w:rPr>
          <w:rFonts w:ascii="Times New Roman" w:hAnsi="Times New Roman" w:cs="Times New Roman"/>
          <w:color w:val="000000" w:themeColor="text1"/>
          <w:kern w:val="0"/>
          <w:sz w:val="26"/>
          <w:szCs w:val="26"/>
        </w:rPr>
      </w:pPr>
      <w:r w:rsidRPr="0020773C">
        <w:rPr>
          <w:rFonts w:ascii="Times New Roman" w:hAnsi="Times New Roman" w:cs="Times New Roman"/>
          <w:color w:val="000000" w:themeColor="text1"/>
          <w:sz w:val="26"/>
          <w:szCs w:val="26"/>
        </w:rPr>
        <w:t xml:space="preserve">VI. </w:t>
      </w:r>
      <w:r w:rsidRPr="0020773C">
        <w:rPr>
          <w:rFonts w:ascii="Times New Roman" w:hAnsi="Times New Roman" w:cs="Times New Roman"/>
          <w:color w:val="000000" w:themeColor="text1"/>
          <w:sz w:val="26"/>
          <w:szCs w:val="26"/>
        </w:rPr>
        <w:tab/>
        <w:t>Industries involved in energy efficiency, reduction of non-energy related greenhouse gas emissions, and clean production, etc.</w:t>
      </w:r>
    </w:p>
    <w:p w14:paraId="0E473FF7" w14:textId="3BE964ED" w:rsidR="001235F5" w:rsidRPr="0020773C" w:rsidRDefault="00681612" w:rsidP="0037663C">
      <w:pPr>
        <w:tabs>
          <w:tab w:val="left" w:pos="1792"/>
        </w:tabs>
        <w:autoSpaceDE w:val="0"/>
        <w:autoSpaceDN w:val="0"/>
        <w:adjustRightInd w:val="0"/>
        <w:spacing w:line="300" w:lineRule="exact"/>
        <w:ind w:left="1806" w:hanging="490"/>
        <w:jc w:val="both"/>
        <w:rPr>
          <w:rFonts w:ascii="Times New Roman" w:hAnsi="Times New Roman" w:cs="Times New Roman"/>
          <w:color w:val="000000" w:themeColor="text1"/>
          <w:kern w:val="0"/>
          <w:sz w:val="26"/>
          <w:szCs w:val="26"/>
        </w:rPr>
      </w:pPr>
      <w:r w:rsidRPr="0020773C">
        <w:rPr>
          <w:rFonts w:ascii="Times New Roman" w:hAnsi="Times New Roman" w:cs="Times New Roman"/>
          <w:color w:val="000000" w:themeColor="text1"/>
          <w:sz w:val="26"/>
          <w:szCs w:val="26"/>
        </w:rPr>
        <w:lastRenderedPageBreak/>
        <w:t xml:space="preserve">VII. </w:t>
      </w:r>
      <w:r w:rsidRPr="0020773C">
        <w:rPr>
          <w:rFonts w:ascii="Times New Roman" w:hAnsi="Times New Roman" w:cs="Times New Roman"/>
          <w:color w:val="000000" w:themeColor="text1"/>
          <w:sz w:val="26"/>
          <w:szCs w:val="26"/>
        </w:rPr>
        <w:tab/>
        <w:t>Businesses involved in waste removal and recycling, pollution control, and carbon sequestration.</w:t>
      </w:r>
    </w:p>
    <w:p w14:paraId="0F45306F" w14:textId="67245876" w:rsidR="001235F5" w:rsidRPr="0020773C" w:rsidRDefault="00657FE3" w:rsidP="0037663C">
      <w:pPr>
        <w:tabs>
          <w:tab w:val="left" w:pos="1792"/>
        </w:tabs>
        <w:autoSpaceDE w:val="0"/>
        <w:autoSpaceDN w:val="0"/>
        <w:adjustRightInd w:val="0"/>
        <w:spacing w:line="300" w:lineRule="exact"/>
        <w:ind w:left="1806" w:hanging="490"/>
        <w:jc w:val="both"/>
        <w:rPr>
          <w:rFonts w:ascii="Times New Roman" w:hAnsi="Times New Roman" w:cs="Times New Roman"/>
          <w:color w:val="000000" w:themeColor="text1"/>
          <w:kern w:val="0"/>
          <w:sz w:val="26"/>
          <w:szCs w:val="26"/>
        </w:rPr>
      </w:pPr>
      <w:r w:rsidRPr="0020773C">
        <w:rPr>
          <w:rFonts w:ascii="Times New Roman" w:hAnsi="Times New Roman" w:cs="Times New Roman"/>
          <w:color w:val="000000" w:themeColor="text1"/>
          <w:sz w:val="26"/>
          <w:szCs w:val="26"/>
        </w:rPr>
        <w:t xml:space="preserve">VIII. </w:t>
      </w:r>
      <w:r w:rsidRPr="0020773C">
        <w:rPr>
          <w:rFonts w:ascii="Times New Roman" w:hAnsi="Times New Roman" w:cs="Times New Roman"/>
          <w:color w:val="000000" w:themeColor="text1"/>
          <w:sz w:val="26"/>
          <w:szCs w:val="26"/>
        </w:rPr>
        <w:tab/>
        <w:t>Businesses involved in information and communication technologies, such as fiber optic Internet, data centers, and smart grids.</w:t>
      </w:r>
    </w:p>
    <w:p w14:paraId="1784FF24" w14:textId="1C71F606" w:rsidR="00D1313D" w:rsidRPr="0020773C" w:rsidRDefault="00657FE3" w:rsidP="0037663C">
      <w:pPr>
        <w:tabs>
          <w:tab w:val="left" w:pos="1792"/>
        </w:tabs>
        <w:autoSpaceDE w:val="0"/>
        <w:autoSpaceDN w:val="0"/>
        <w:adjustRightInd w:val="0"/>
        <w:spacing w:line="300" w:lineRule="exact"/>
        <w:ind w:left="1806" w:hanging="490"/>
        <w:jc w:val="both"/>
        <w:rPr>
          <w:rFonts w:ascii="Times New Roman" w:hAnsi="Times New Roman" w:cs="Times New Roman"/>
          <w:color w:val="000000" w:themeColor="text1"/>
          <w:kern w:val="0"/>
          <w:sz w:val="26"/>
          <w:szCs w:val="26"/>
        </w:rPr>
      </w:pPr>
      <w:r w:rsidRPr="0020773C">
        <w:rPr>
          <w:rFonts w:ascii="Times New Roman" w:hAnsi="Times New Roman" w:cs="Times New Roman"/>
          <w:color w:val="000000" w:themeColor="text1"/>
          <w:sz w:val="26"/>
          <w:szCs w:val="26"/>
        </w:rPr>
        <w:t xml:space="preserve">IX. </w:t>
      </w:r>
      <w:r w:rsidRPr="0020773C">
        <w:rPr>
          <w:rFonts w:ascii="Times New Roman" w:hAnsi="Times New Roman" w:cs="Times New Roman"/>
          <w:color w:val="000000" w:themeColor="text1"/>
          <w:sz w:val="26"/>
          <w:szCs w:val="26"/>
        </w:rPr>
        <w:tab/>
        <w:t>Businesses adopting measures for sustainable agricultural, forestry, fishery, animal husbandry, and aquaculture sectors with verifiable carbon reduction benefits.</w:t>
      </w:r>
    </w:p>
    <w:p w14:paraId="6C5FD695" w14:textId="4D1F5C09" w:rsidR="001235F5" w:rsidRPr="0020773C" w:rsidRDefault="00657FE3" w:rsidP="0037663C">
      <w:pPr>
        <w:tabs>
          <w:tab w:val="left" w:pos="1792"/>
        </w:tabs>
        <w:autoSpaceDE w:val="0"/>
        <w:autoSpaceDN w:val="0"/>
        <w:adjustRightInd w:val="0"/>
        <w:spacing w:line="300" w:lineRule="exact"/>
        <w:ind w:left="1806" w:hanging="490"/>
        <w:jc w:val="both"/>
        <w:rPr>
          <w:rFonts w:ascii="Times New Roman" w:hAnsi="Times New Roman" w:cs="Times New Roman"/>
          <w:color w:val="000000" w:themeColor="text1"/>
          <w:kern w:val="0"/>
          <w:sz w:val="26"/>
          <w:szCs w:val="26"/>
        </w:rPr>
      </w:pPr>
      <w:r w:rsidRPr="0020773C">
        <w:rPr>
          <w:rFonts w:ascii="Times New Roman" w:hAnsi="Times New Roman" w:cs="Times New Roman"/>
          <w:color w:val="000000" w:themeColor="text1"/>
          <w:sz w:val="26"/>
          <w:szCs w:val="26"/>
        </w:rPr>
        <w:t xml:space="preserve">X. </w:t>
      </w:r>
      <w:r w:rsidRPr="0020773C">
        <w:rPr>
          <w:rFonts w:ascii="Times New Roman" w:hAnsi="Times New Roman" w:cs="Times New Roman"/>
          <w:color w:val="000000" w:themeColor="text1"/>
          <w:sz w:val="26"/>
          <w:szCs w:val="26"/>
        </w:rPr>
        <w:tab/>
      </w:r>
      <w:r w:rsidRPr="0020773C">
        <w:rPr>
          <w:rFonts w:ascii="Times New Roman" w:hAnsi="Times New Roman" w:cs="Times New Roman"/>
          <w:color w:val="000000" w:themeColor="text1"/>
          <w:szCs w:val="24"/>
        </w:rPr>
        <w:t>Businesses with MSCI ratings of AA or higher, selected as a constituent of DJSI, ranked in the top 20% of the Corporate Governance Evaluation, and in line with Taiwan's sustainability classification standards.</w:t>
      </w:r>
    </w:p>
    <w:p w14:paraId="6A2921B2" w14:textId="3413597D" w:rsidR="001235F5" w:rsidRPr="0020773C" w:rsidRDefault="00657FE3" w:rsidP="0037663C">
      <w:pPr>
        <w:tabs>
          <w:tab w:val="left" w:pos="1792"/>
        </w:tabs>
        <w:autoSpaceDE w:val="0"/>
        <w:autoSpaceDN w:val="0"/>
        <w:adjustRightInd w:val="0"/>
        <w:spacing w:line="300" w:lineRule="exact"/>
        <w:ind w:left="1806" w:hanging="490"/>
        <w:jc w:val="both"/>
        <w:rPr>
          <w:rFonts w:ascii="Times New Roman" w:hAnsi="Times New Roman" w:cs="Times New Roman"/>
          <w:color w:val="000000" w:themeColor="text1"/>
          <w:kern w:val="0"/>
          <w:sz w:val="26"/>
          <w:szCs w:val="26"/>
        </w:rPr>
      </w:pPr>
      <w:r w:rsidRPr="0020773C">
        <w:rPr>
          <w:rFonts w:ascii="Times New Roman" w:hAnsi="Times New Roman" w:cs="Times New Roman"/>
          <w:color w:val="000000" w:themeColor="text1"/>
          <w:sz w:val="26"/>
          <w:szCs w:val="26"/>
        </w:rPr>
        <w:t xml:space="preserve">XI. </w:t>
      </w:r>
      <w:r w:rsidRPr="0020773C">
        <w:rPr>
          <w:rFonts w:ascii="Times New Roman" w:hAnsi="Times New Roman" w:cs="Times New Roman"/>
          <w:color w:val="000000" w:themeColor="text1"/>
          <w:sz w:val="26"/>
          <w:szCs w:val="26"/>
        </w:rPr>
        <w:tab/>
        <w:t>Other businesses engaging in operations or activities that contribute to carbon emissions reduction, circular economy, and ESG enhancement.</w:t>
      </w:r>
    </w:p>
    <w:p w14:paraId="158CC5F8" w14:textId="4ED1D6D4" w:rsidR="001A53E3" w:rsidRPr="0020773C" w:rsidRDefault="00C749BB" w:rsidP="0037663C">
      <w:pPr>
        <w:pStyle w:val="Default"/>
        <w:tabs>
          <w:tab w:val="left" w:pos="1176"/>
        </w:tabs>
        <w:spacing w:line="300" w:lineRule="exact"/>
        <w:jc w:val="both"/>
        <w:rPr>
          <w:rFonts w:ascii="Times New Roman" w:eastAsiaTheme="minorEastAsia" w:hAnsi="Times New Roman" w:cs="Times New Roman"/>
          <w:sz w:val="26"/>
          <w:szCs w:val="26"/>
        </w:rPr>
      </w:pPr>
      <w:r w:rsidRPr="0020773C">
        <w:rPr>
          <w:rFonts w:ascii="Times New Roman" w:hAnsi="Times New Roman" w:cs="Times New Roman"/>
          <w:sz w:val="26"/>
          <w:szCs w:val="26"/>
        </w:rPr>
        <w:t xml:space="preserve">Article 6 </w:t>
      </w:r>
      <w:r w:rsidRPr="0020773C">
        <w:rPr>
          <w:rFonts w:ascii="Times New Roman" w:hAnsi="Times New Roman" w:cs="Times New Roman"/>
          <w:sz w:val="26"/>
          <w:szCs w:val="26"/>
        </w:rPr>
        <w:tab/>
        <w:t>(Industries or entities exposed to high ESG risks)</w:t>
      </w:r>
    </w:p>
    <w:p w14:paraId="1CEA0ACF" w14:textId="43137A2F" w:rsidR="00FD4B37" w:rsidRPr="0020773C" w:rsidRDefault="00223E7F" w:rsidP="0037663C">
      <w:pPr>
        <w:pStyle w:val="Default"/>
        <w:spacing w:line="300" w:lineRule="exact"/>
        <w:ind w:left="1191"/>
        <w:jc w:val="both"/>
        <w:rPr>
          <w:rFonts w:ascii="Times New Roman" w:eastAsiaTheme="minorEastAsia" w:hAnsi="Times New Roman" w:cs="Times New Roman"/>
          <w:sz w:val="26"/>
          <w:szCs w:val="26"/>
        </w:rPr>
      </w:pPr>
      <w:r w:rsidRPr="0020773C">
        <w:rPr>
          <w:rFonts w:ascii="Times New Roman" w:hAnsi="Times New Roman" w:cs="Times New Roman"/>
          <w:sz w:val="26"/>
          <w:szCs w:val="26"/>
        </w:rPr>
        <w:t>Industries or entities exposed to high ESG risks in these Guidelines refer to any of the following:</w:t>
      </w:r>
    </w:p>
    <w:p w14:paraId="59AD7067" w14:textId="4DC2277C" w:rsidR="00FD4B37" w:rsidRPr="0020773C" w:rsidRDefault="000554F3" w:rsidP="0037663C">
      <w:pPr>
        <w:pStyle w:val="af3"/>
        <w:tabs>
          <w:tab w:val="left" w:pos="1120"/>
          <w:tab w:val="left" w:pos="1806"/>
        </w:tabs>
        <w:spacing w:line="300" w:lineRule="exact"/>
        <w:ind w:firstLineChars="511" w:firstLine="1329"/>
        <w:jc w:val="both"/>
        <w:rPr>
          <w:rFonts w:ascii="Times New Roman" w:eastAsiaTheme="minorEastAsia" w:hAnsi="Times New Roman" w:cs="Times New Roman"/>
          <w:color w:val="000000"/>
          <w:kern w:val="0"/>
          <w:sz w:val="26"/>
          <w:szCs w:val="26"/>
        </w:rPr>
      </w:pPr>
      <w:r w:rsidRPr="0020773C">
        <w:rPr>
          <w:rFonts w:ascii="Times New Roman" w:hAnsi="Times New Roman" w:cs="Times New Roman"/>
          <w:color w:val="000000"/>
          <w:sz w:val="26"/>
          <w:szCs w:val="26"/>
        </w:rPr>
        <w:t xml:space="preserve">I. </w:t>
      </w:r>
      <w:r w:rsidRPr="0020773C">
        <w:rPr>
          <w:rFonts w:ascii="Times New Roman" w:hAnsi="Times New Roman" w:cs="Times New Roman"/>
          <w:color w:val="000000"/>
          <w:sz w:val="26"/>
          <w:szCs w:val="26"/>
        </w:rPr>
        <w:tab/>
        <w:t>Industries or entities with which business dealings are prohibited.</w:t>
      </w:r>
    </w:p>
    <w:p w14:paraId="6DBE0B03" w14:textId="3CF617EB" w:rsidR="00FD4B37" w:rsidRPr="0020773C" w:rsidRDefault="000554F3" w:rsidP="0037663C">
      <w:pPr>
        <w:pStyle w:val="af3"/>
        <w:tabs>
          <w:tab w:val="left" w:pos="1932"/>
        </w:tabs>
        <w:spacing w:line="300" w:lineRule="exact"/>
        <w:ind w:leftChars="536" w:left="1803" w:hangingChars="199" w:hanging="517"/>
        <w:jc w:val="both"/>
        <w:rPr>
          <w:rFonts w:ascii="Times New Roman" w:eastAsiaTheme="minorEastAsia" w:hAnsi="Times New Roman" w:cs="Times New Roman"/>
          <w:color w:val="000000"/>
          <w:kern w:val="0"/>
          <w:sz w:val="26"/>
          <w:szCs w:val="26"/>
        </w:rPr>
      </w:pPr>
      <w:r w:rsidRPr="0020773C">
        <w:rPr>
          <w:rFonts w:ascii="Times New Roman" w:hAnsi="Times New Roman" w:cs="Times New Roman"/>
          <w:color w:val="000000"/>
          <w:sz w:val="26"/>
          <w:szCs w:val="26"/>
        </w:rPr>
        <w:t xml:space="preserve">II. </w:t>
      </w:r>
      <w:r w:rsidRPr="0020773C">
        <w:rPr>
          <w:rFonts w:ascii="Times New Roman" w:hAnsi="Times New Roman" w:cs="Times New Roman"/>
          <w:color w:val="000000"/>
          <w:sz w:val="26"/>
          <w:szCs w:val="26"/>
        </w:rPr>
        <w:tab/>
        <w:t>Sensitive industries or entities: These are classified as emission-intensive industries and industries or entities that exert a high level of environmental and social impact.</w:t>
      </w:r>
    </w:p>
    <w:p w14:paraId="4AB2BB1C" w14:textId="30C707CE" w:rsidR="001A53E3" w:rsidRPr="0020773C" w:rsidRDefault="00C749BB" w:rsidP="0037663C">
      <w:pPr>
        <w:pStyle w:val="Default"/>
        <w:tabs>
          <w:tab w:val="left" w:pos="1176"/>
        </w:tabs>
        <w:spacing w:line="300" w:lineRule="exact"/>
        <w:jc w:val="both"/>
        <w:rPr>
          <w:rFonts w:ascii="Times New Roman" w:eastAsiaTheme="minorEastAsia" w:hAnsi="Times New Roman" w:cs="Times New Roman"/>
          <w:sz w:val="26"/>
          <w:szCs w:val="26"/>
        </w:rPr>
      </w:pPr>
      <w:r w:rsidRPr="0020773C">
        <w:rPr>
          <w:rFonts w:ascii="Times New Roman" w:hAnsi="Times New Roman" w:cs="Times New Roman"/>
          <w:sz w:val="26"/>
          <w:szCs w:val="26"/>
        </w:rPr>
        <w:t xml:space="preserve">Article 7 </w:t>
      </w:r>
      <w:r w:rsidRPr="0020773C">
        <w:rPr>
          <w:rFonts w:ascii="Times New Roman" w:hAnsi="Times New Roman" w:cs="Times New Roman"/>
          <w:sz w:val="26"/>
          <w:szCs w:val="26"/>
        </w:rPr>
        <w:tab/>
        <w:t>(Industries or entities with which business dealings are prohibited)</w:t>
      </w:r>
    </w:p>
    <w:p w14:paraId="44D1AEB6" w14:textId="20309967" w:rsidR="00C12283" w:rsidRPr="0020773C" w:rsidRDefault="00FD4B37" w:rsidP="0037663C">
      <w:pPr>
        <w:pStyle w:val="Default"/>
        <w:spacing w:line="300" w:lineRule="exact"/>
        <w:ind w:left="1191"/>
        <w:jc w:val="both"/>
        <w:rPr>
          <w:rFonts w:ascii="Times New Roman" w:eastAsiaTheme="minorEastAsia" w:hAnsi="Times New Roman" w:cs="Times New Roman"/>
          <w:sz w:val="26"/>
          <w:szCs w:val="26"/>
        </w:rPr>
      </w:pPr>
      <w:r w:rsidRPr="0020773C">
        <w:rPr>
          <w:rFonts w:ascii="Times New Roman" w:hAnsi="Times New Roman" w:cs="Times New Roman"/>
          <w:sz w:val="26"/>
          <w:szCs w:val="26"/>
        </w:rPr>
        <w:t>All subsidiaries shall be prohibited from engaging in the following which are hazardous to environmental sustainability and endanger human health:</w:t>
      </w:r>
    </w:p>
    <w:p w14:paraId="39928AFE" w14:textId="15EB0ED8" w:rsidR="00FD4B37" w:rsidRPr="0020773C" w:rsidRDefault="000554F3" w:rsidP="0037663C">
      <w:pPr>
        <w:pStyle w:val="af3"/>
        <w:tabs>
          <w:tab w:val="left" w:pos="1120"/>
          <w:tab w:val="left" w:pos="1806"/>
        </w:tabs>
        <w:spacing w:line="300" w:lineRule="exact"/>
        <w:ind w:leftChars="543" w:left="1818" w:hangingChars="198" w:hanging="515"/>
        <w:jc w:val="both"/>
        <w:rPr>
          <w:rFonts w:ascii="Times New Roman" w:eastAsiaTheme="minorEastAsia" w:hAnsi="Times New Roman" w:cs="Times New Roman"/>
          <w:color w:val="000000"/>
          <w:kern w:val="0"/>
          <w:sz w:val="26"/>
          <w:szCs w:val="26"/>
        </w:rPr>
      </w:pPr>
      <w:r w:rsidRPr="0020773C">
        <w:rPr>
          <w:rFonts w:ascii="Times New Roman" w:hAnsi="Times New Roman" w:cs="Times New Roman"/>
          <w:color w:val="000000"/>
          <w:sz w:val="26"/>
          <w:szCs w:val="26"/>
        </w:rPr>
        <w:t xml:space="preserve">I. </w:t>
      </w:r>
      <w:r w:rsidRPr="0020773C">
        <w:rPr>
          <w:rFonts w:ascii="Times New Roman" w:hAnsi="Times New Roman" w:cs="Times New Roman"/>
          <w:color w:val="000000"/>
          <w:sz w:val="26"/>
          <w:szCs w:val="26"/>
        </w:rPr>
        <w:tab/>
        <w:t>Illegal products or activities that violate local laws and regulations or international conventions and agreements.</w:t>
      </w:r>
    </w:p>
    <w:p w14:paraId="45EAFFD3" w14:textId="56B92E17" w:rsidR="00FD4B37" w:rsidRPr="0020773C" w:rsidRDefault="000554F3" w:rsidP="0037663C">
      <w:pPr>
        <w:pStyle w:val="af3"/>
        <w:tabs>
          <w:tab w:val="left" w:pos="1120"/>
          <w:tab w:val="left" w:pos="1806"/>
        </w:tabs>
        <w:spacing w:line="300" w:lineRule="exact"/>
        <w:ind w:leftChars="543" w:left="1818" w:hangingChars="198" w:hanging="515"/>
        <w:jc w:val="both"/>
        <w:rPr>
          <w:rFonts w:ascii="Times New Roman" w:eastAsiaTheme="minorEastAsia" w:hAnsi="Times New Roman" w:cs="Times New Roman"/>
          <w:color w:val="000000"/>
          <w:kern w:val="0"/>
          <w:sz w:val="26"/>
          <w:szCs w:val="26"/>
        </w:rPr>
      </w:pPr>
      <w:r w:rsidRPr="0020773C">
        <w:rPr>
          <w:rFonts w:ascii="Times New Roman" w:hAnsi="Times New Roman" w:cs="Times New Roman"/>
          <w:color w:val="000000"/>
          <w:sz w:val="26"/>
          <w:szCs w:val="26"/>
        </w:rPr>
        <w:t xml:space="preserve">II. </w:t>
      </w:r>
      <w:r w:rsidRPr="0020773C">
        <w:rPr>
          <w:rFonts w:ascii="Times New Roman" w:hAnsi="Times New Roman" w:cs="Times New Roman"/>
          <w:color w:val="000000"/>
          <w:sz w:val="26"/>
          <w:szCs w:val="26"/>
        </w:rPr>
        <w:tab/>
        <w:t>Products or activities subject to domestic or international bans.</w:t>
      </w:r>
    </w:p>
    <w:p w14:paraId="63651B6A" w14:textId="69562E2B" w:rsidR="00FD4B37" w:rsidRPr="0020773C" w:rsidRDefault="000554F3" w:rsidP="0037663C">
      <w:pPr>
        <w:pStyle w:val="af3"/>
        <w:tabs>
          <w:tab w:val="left" w:pos="1120"/>
          <w:tab w:val="left" w:pos="1806"/>
        </w:tabs>
        <w:spacing w:line="300" w:lineRule="exact"/>
        <w:ind w:leftChars="543" w:left="1818" w:hangingChars="198" w:hanging="515"/>
        <w:jc w:val="both"/>
        <w:rPr>
          <w:rFonts w:ascii="Times New Roman" w:eastAsiaTheme="minorEastAsia" w:hAnsi="Times New Roman" w:cs="Times New Roman"/>
          <w:color w:val="000000"/>
          <w:kern w:val="0"/>
          <w:sz w:val="26"/>
          <w:szCs w:val="26"/>
        </w:rPr>
      </w:pPr>
      <w:r w:rsidRPr="0020773C">
        <w:rPr>
          <w:rFonts w:ascii="Times New Roman" w:hAnsi="Times New Roman" w:cs="Times New Roman"/>
          <w:color w:val="000000"/>
          <w:sz w:val="26"/>
          <w:szCs w:val="26"/>
        </w:rPr>
        <w:t xml:space="preserve">III. </w:t>
      </w:r>
      <w:r w:rsidRPr="0020773C">
        <w:rPr>
          <w:rFonts w:ascii="Times New Roman" w:hAnsi="Times New Roman" w:cs="Times New Roman"/>
          <w:color w:val="000000"/>
          <w:sz w:val="26"/>
          <w:szCs w:val="26"/>
        </w:rPr>
        <w:tab/>
        <w:t>Dealings with entities that have been sanctioned by the competent authority in accordance with the Money Laundering Control Act and the Counter-Terrorism Financing Act.</w:t>
      </w:r>
    </w:p>
    <w:p w14:paraId="4C539971" w14:textId="78D0E6F2" w:rsidR="00C12283" w:rsidRPr="0020773C" w:rsidRDefault="000554F3" w:rsidP="0037663C">
      <w:pPr>
        <w:pStyle w:val="af3"/>
        <w:tabs>
          <w:tab w:val="left" w:pos="1120"/>
          <w:tab w:val="left" w:pos="1806"/>
        </w:tabs>
        <w:spacing w:line="300" w:lineRule="exact"/>
        <w:ind w:leftChars="543" w:left="1818" w:hangingChars="198" w:hanging="515"/>
        <w:jc w:val="both"/>
        <w:rPr>
          <w:rFonts w:ascii="Times New Roman" w:eastAsiaTheme="minorEastAsia" w:hAnsi="Times New Roman" w:cs="Times New Roman"/>
          <w:color w:val="000000"/>
          <w:kern w:val="0"/>
          <w:sz w:val="26"/>
          <w:szCs w:val="26"/>
        </w:rPr>
      </w:pPr>
      <w:r w:rsidRPr="0020773C">
        <w:rPr>
          <w:rFonts w:ascii="Times New Roman" w:hAnsi="Times New Roman" w:cs="Times New Roman"/>
          <w:sz w:val="26"/>
          <w:szCs w:val="26"/>
        </w:rPr>
        <w:t xml:space="preserve">IV. </w:t>
      </w:r>
      <w:r w:rsidRPr="0020773C">
        <w:rPr>
          <w:rFonts w:ascii="Times New Roman" w:hAnsi="Times New Roman" w:cs="Times New Roman"/>
          <w:sz w:val="26"/>
          <w:szCs w:val="26"/>
        </w:rPr>
        <w:tab/>
        <w:t>Activities that are hazardous to humans and the ecology, such as the manufacturing or sale of narcotics, controversial weapons (e.g., nuclear weapons), illegal weapons, and ammunition, illegal gambling (including underground and online), pornography, the use of gillnetting with a gillnet length of more than 2.5 km or longer, and commercial logging in tropical rain forests, etc.</w:t>
      </w:r>
    </w:p>
    <w:p w14:paraId="0A813C03" w14:textId="65C8CB08" w:rsidR="00C12283" w:rsidRPr="0020773C" w:rsidRDefault="00C749BB" w:rsidP="0037663C">
      <w:pPr>
        <w:pStyle w:val="Default"/>
        <w:tabs>
          <w:tab w:val="left" w:pos="1176"/>
        </w:tabs>
        <w:spacing w:line="300" w:lineRule="exact"/>
        <w:jc w:val="both"/>
        <w:rPr>
          <w:rFonts w:ascii="Times New Roman" w:eastAsiaTheme="minorEastAsia" w:hAnsi="Times New Roman" w:cs="Times New Roman"/>
          <w:color w:val="000000" w:themeColor="text1"/>
          <w:sz w:val="26"/>
          <w:szCs w:val="26"/>
        </w:rPr>
      </w:pPr>
      <w:r w:rsidRPr="0020773C">
        <w:rPr>
          <w:rFonts w:ascii="Times New Roman" w:hAnsi="Times New Roman" w:cs="Times New Roman"/>
          <w:sz w:val="26"/>
          <w:szCs w:val="26"/>
        </w:rPr>
        <w:t xml:space="preserve">Article 8 </w:t>
      </w:r>
      <w:r w:rsidRPr="0020773C">
        <w:rPr>
          <w:rFonts w:ascii="Times New Roman" w:hAnsi="Times New Roman" w:cs="Times New Roman"/>
          <w:sz w:val="26"/>
          <w:szCs w:val="26"/>
        </w:rPr>
        <w:tab/>
        <w:t>(Sensitive industries or entities)</w:t>
      </w:r>
    </w:p>
    <w:p w14:paraId="5DE2EF4F" w14:textId="3EE16D46" w:rsidR="001A53E3" w:rsidRPr="0020773C" w:rsidRDefault="00C45739" w:rsidP="0037663C">
      <w:pPr>
        <w:pStyle w:val="Default"/>
        <w:spacing w:line="300" w:lineRule="exact"/>
        <w:ind w:left="1191"/>
        <w:jc w:val="both"/>
        <w:rPr>
          <w:rFonts w:ascii="Times New Roman" w:eastAsiaTheme="minorEastAsia" w:hAnsi="Times New Roman" w:cs="Times New Roman"/>
          <w:color w:val="000000" w:themeColor="text1"/>
          <w:sz w:val="26"/>
          <w:szCs w:val="26"/>
        </w:rPr>
      </w:pPr>
      <w:r w:rsidRPr="0020773C">
        <w:rPr>
          <w:rFonts w:ascii="Times New Roman" w:hAnsi="Times New Roman" w:cs="Times New Roman"/>
          <w:color w:val="000000" w:themeColor="text1"/>
          <w:sz w:val="26"/>
          <w:szCs w:val="26"/>
        </w:rPr>
        <w:t>All subsidiaries shall perform exception management in accordance with Article 9 of these Guidelines when processing credit or investment applications from the following businesses that are hazardous to environmental sustainability and endanger human health:</w:t>
      </w:r>
    </w:p>
    <w:p w14:paraId="27B23D5B" w14:textId="6624A52D" w:rsidR="00C12283" w:rsidRPr="0020773C" w:rsidRDefault="00C12283" w:rsidP="0037663C">
      <w:pPr>
        <w:pStyle w:val="a3"/>
        <w:numPr>
          <w:ilvl w:val="0"/>
          <w:numId w:val="48"/>
        </w:numPr>
        <w:autoSpaceDE w:val="0"/>
        <w:autoSpaceDN w:val="0"/>
        <w:adjustRightInd w:val="0"/>
        <w:spacing w:line="300" w:lineRule="exact"/>
        <w:ind w:leftChars="0" w:left="1820" w:hanging="532"/>
        <w:jc w:val="both"/>
        <w:rPr>
          <w:rFonts w:ascii="Times New Roman" w:hAnsi="Times New Roman" w:cs="Times New Roman"/>
          <w:color w:val="000000" w:themeColor="text1"/>
          <w:kern w:val="0"/>
          <w:sz w:val="26"/>
          <w:szCs w:val="26"/>
        </w:rPr>
      </w:pPr>
      <w:r w:rsidRPr="0020773C">
        <w:rPr>
          <w:rFonts w:ascii="Times New Roman" w:hAnsi="Times New Roman" w:cs="Times New Roman"/>
          <w:color w:val="000000" w:themeColor="text1"/>
          <w:sz w:val="26"/>
          <w:szCs w:val="26"/>
        </w:rPr>
        <w:t>Industries or entities that exert a high level of environmental and social impact:</w:t>
      </w:r>
    </w:p>
    <w:p w14:paraId="7BE88FB7" w14:textId="71263B77" w:rsidR="00C12283" w:rsidRPr="0020773C" w:rsidRDefault="00223E7F" w:rsidP="0037663C">
      <w:pPr>
        <w:pStyle w:val="a3"/>
        <w:numPr>
          <w:ilvl w:val="0"/>
          <w:numId w:val="34"/>
        </w:numPr>
        <w:tabs>
          <w:tab w:val="left" w:pos="2142"/>
        </w:tabs>
        <w:autoSpaceDE w:val="0"/>
        <w:autoSpaceDN w:val="0"/>
        <w:adjustRightInd w:val="0"/>
        <w:spacing w:line="300" w:lineRule="exact"/>
        <w:ind w:leftChars="0" w:left="2142" w:hanging="700"/>
        <w:jc w:val="both"/>
        <w:rPr>
          <w:rFonts w:ascii="Times New Roman" w:hAnsi="Times New Roman" w:cs="Times New Roman"/>
          <w:color w:val="000000"/>
          <w:kern w:val="0"/>
          <w:sz w:val="26"/>
          <w:szCs w:val="26"/>
        </w:rPr>
      </w:pPr>
      <w:r w:rsidRPr="0020773C">
        <w:rPr>
          <w:rFonts w:ascii="Times New Roman" w:hAnsi="Times New Roman" w:cs="Times New Roman"/>
          <w:color w:val="000000"/>
          <w:sz w:val="26"/>
          <w:szCs w:val="26"/>
        </w:rPr>
        <w:t>Those that have been sanctioned by the competent authority for harming or exploiting workers but have not yet taken corrective actions.</w:t>
      </w:r>
    </w:p>
    <w:p w14:paraId="23DE6082" w14:textId="62C42CC1" w:rsidR="00C12283" w:rsidRPr="0020773C" w:rsidRDefault="00223E7F" w:rsidP="0037663C">
      <w:pPr>
        <w:pStyle w:val="a3"/>
        <w:numPr>
          <w:ilvl w:val="0"/>
          <w:numId w:val="34"/>
        </w:numPr>
        <w:tabs>
          <w:tab w:val="left" w:pos="2142"/>
        </w:tabs>
        <w:autoSpaceDE w:val="0"/>
        <w:autoSpaceDN w:val="0"/>
        <w:adjustRightInd w:val="0"/>
        <w:spacing w:line="300" w:lineRule="exact"/>
        <w:ind w:leftChars="0" w:left="2142" w:hanging="700"/>
        <w:jc w:val="both"/>
        <w:rPr>
          <w:rFonts w:ascii="Times New Roman" w:hAnsi="Times New Roman" w:cs="Times New Roman"/>
          <w:color w:val="000000"/>
          <w:kern w:val="0"/>
          <w:sz w:val="26"/>
          <w:szCs w:val="26"/>
        </w:rPr>
      </w:pPr>
      <w:r w:rsidRPr="0020773C">
        <w:rPr>
          <w:rFonts w:ascii="Times New Roman" w:hAnsi="Times New Roman" w:cs="Times New Roman"/>
          <w:color w:val="000000"/>
          <w:sz w:val="26"/>
          <w:szCs w:val="26"/>
        </w:rPr>
        <w:t xml:space="preserve">Those that have been sanctioned by the competent authority for </w:t>
      </w:r>
      <w:r w:rsidRPr="0020773C">
        <w:rPr>
          <w:rFonts w:ascii="Times New Roman" w:hAnsi="Times New Roman" w:cs="Times New Roman"/>
          <w:color w:val="000000"/>
          <w:sz w:val="26"/>
          <w:szCs w:val="26"/>
        </w:rPr>
        <w:lastRenderedPageBreak/>
        <w:t>environmental pollution incidents but have not yet taken corrective actions.</w:t>
      </w:r>
    </w:p>
    <w:p w14:paraId="25292CFA" w14:textId="1AF5D0F1" w:rsidR="00C12283" w:rsidRPr="0020773C" w:rsidRDefault="00223E7F" w:rsidP="0037663C">
      <w:pPr>
        <w:pStyle w:val="a3"/>
        <w:numPr>
          <w:ilvl w:val="0"/>
          <w:numId w:val="34"/>
        </w:numPr>
        <w:tabs>
          <w:tab w:val="left" w:pos="2142"/>
        </w:tabs>
        <w:autoSpaceDE w:val="0"/>
        <w:autoSpaceDN w:val="0"/>
        <w:adjustRightInd w:val="0"/>
        <w:spacing w:line="300" w:lineRule="exact"/>
        <w:ind w:leftChars="0" w:left="2142" w:hanging="700"/>
        <w:jc w:val="both"/>
        <w:rPr>
          <w:rFonts w:ascii="Times New Roman" w:hAnsi="Times New Roman" w:cs="Times New Roman"/>
          <w:color w:val="000000"/>
          <w:kern w:val="0"/>
          <w:sz w:val="26"/>
          <w:szCs w:val="26"/>
        </w:rPr>
      </w:pPr>
      <w:r w:rsidRPr="0020773C">
        <w:rPr>
          <w:rFonts w:ascii="Times New Roman" w:hAnsi="Times New Roman" w:cs="Times New Roman"/>
          <w:color w:val="000000"/>
          <w:sz w:val="26"/>
          <w:szCs w:val="26"/>
        </w:rPr>
        <w:t>Those that have been sanctioned by the competent authority for violating ethical management principles but have not yet taken corrective actions.</w:t>
      </w:r>
    </w:p>
    <w:p w14:paraId="37AF2CD1" w14:textId="635D6572" w:rsidR="00C12283" w:rsidRPr="0020773C" w:rsidRDefault="00223E7F" w:rsidP="0037663C">
      <w:pPr>
        <w:pStyle w:val="a3"/>
        <w:numPr>
          <w:ilvl w:val="0"/>
          <w:numId w:val="34"/>
        </w:numPr>
        <w:tabs>
          <w:tab w:val="left" w:pos="2142"/>
        </w:tabs>
        <w:autoSpaceDE w:val="0"/>
        <w:autoSpaceDN w:val="0"/>
        <w:adjustRightInd w:val="0"/>
        <w:spacing w:line="300" w:lineRule="exact"/>
        <w:ind w:leftChars="0" w:left="2142" w:hanging="700"/>
        <w:jc w:val="both"/>
        <w:rPr>
          <w:rFonts w:ascii="Times New Roman" w:hAnsi="Times New Roman" w:cs="Times New Roman"/>
          <w:color w:val="000000"/>
          <w:kern w:val="0"/>
          <w:sz w:val="26"/>
          <w:szCs w:val="26"/>
        </w:rPr>
      </w:pPr>
      <w:r w:rsidRPr="0020773C">
        <w:rPr>
          <w:rFonts w:ascii="Times New Roman" w:hAnsi="Times New Roman" w:cs="Times New Roman"/>
          <w:color w:val="000000"/>
          <w:sz w:val="26"/>
          <w:szCs w:val="26"/>
        </w:rPr>
        <w:t>Mining and quarrying.</w:t>
      </w:r>
    </w:p>
    <w:p w14:paraId="6641B708" w14:textId="1109B396" w:rsidR="00C12283" w:rsidRPr="0020773C" w:rsidRDefault="00223E7F" w:rsidP="0037663C">
      <w:pPr>
        <w:pStyle w:val="a3"/>
        <w:numPr>
          <w:ilvl w:val="0"/>
          <w:numId w:val="34"/>
        </w:numPr>
        <w:tabs>
          <w:tab w:val="left" w:pos="2142"/>
        </w:tabs>
        <w:autoSpaceDE w:val="0"/>
        <w:autoSpaceDN w:val="0"/>
        <w:adjustRightInd w:val="0"/>
        <w:spacing w:line="300" w:lineRule="exact"/>
        <w:ind w:leftChars="0" w:left="2142" w:hanging="700"/>
        <w:jc w:val="both"/>
        <w:rPr>
          <w:rFonts w:ascii="Times New Roman" w:hAnsi="Times New Roman" w:cs="Times New Roman"/>
          <w:color w:val="000000"/>
          <w:kern w:val="0"/>
          <w:sz w:val="26"/>
          <w:szCs w:val="26"/>
        </w:rPr>
      </w:pPr>
      <w:r w:rsidRPr="0020773C">
        <w:rPr>
          <w:rFonts w:ascii="Times New Roman" w:hAnsi="Times New Roman" w:cs="Times New Roman"/>
          <w:color w:val="000000"/>
          <w:sz w:val="26"/>
          <w:szCs w:val="26"/>
        </w:rPr>
        <w:t xml:space="preserve">Remediation of wild animal leather and fur and trading of fur clothing. </w:t>
      </w:r>
    </w:p>
    <w:p w14:paraId="02179CBB" w14:textId="3C3B4DEB" w:rsidR="00C12283" w:rsidRPr="0020773C" w:rsidRDefault="00223E7F" w:rsidP="0037663C">
      <w:pPr>
        <w:pStyle w:val="a3"/>
        <w:numPr>
          <w:ilvl w:val="0"/>
          <w:numId w:val="34"/>
        </w:numPr>
        <w:tabs>
          <w:tab w:val="left" w:pos="2142"/>
        </w:tabs>
        <w:autoSpaceDE w:val="0"/>
        <w:autoSpaceDN w:val="0"/>
        <w:adjustRightInd w:val="0"/>
        <w:spacing w:line="300" w:lineRule="exact"/>
        <w:ind w:leftChars="0" w:left="2142" w:hanging="700"/>
        <w:jc w:val="both"/>
        <w:rPr>
          <w:rFonts w:ascii="Times New Roman" w:hAnsi="Times New Roman" w:cs="Times New Roman"/>
          <w:color w:val="000000"/>
          <w:kern w:val="0"/>
          <w:sz w:val="26"/>
          <w:szCs w:val="26"/>
        </w:rPr>
      </w:pPr>
      <w:r w:rsidRPr="0020773C">
        <w:rPr>
          <w:rFonts w:ascii="Times New Roman" w:hAnsi="Times New Roman" w:cs="Times New Roman"/>
          <w:color w:val="000000"/>
          <w:sz w:val="26"/>
          <w:szCs w:val="26"/>
        </w:rPr>
        <w:t>Dyeing and finishing.</w:t>
      </w:r>
    </w:p>
    <w:p w14:paraId="5EE457D9" w14:textId="4A2914B3" w:rsidR="00C12283" w:rsidRPr="0020773C" w:rsidRDefault="00223E7F" w:rsidP="0037663C">
      <w:pPr>
        <w:pStyle w:val="a3"/>
        <w:numPr>
          <w:ilvl w:val="0"/>
          <w:numId w:val="34"/>
        </w:numPr>
        <w:tabs>
          <w:tab w:val="left" w:pos="2142"/>
        </w:tabs>
        <w:autoSpaceDE w:val="0"/>
        <w:autoSpaceDN w:val="0"/>
        <w:adjustRightInd w:val="0"/>
        <w:spacing w:line="300" w:lineRule="exact"/>
        <w:ind w:leftChars="0" w:left="2142" w:hanging="700"/>
        <w:jc w:val="both"/>
        <w:rPr>
          <w:rFonts w:ascii="Times New Roman" w:hAnsi="Times New Roman" w:cs="Times New Roman"/>
          <w:color w:val="000000"/>
          <w:kern w:val="0"/>
          <w:sz w:val="26"/>
          <w:szCs w:val="26"/>
        </w:rPr>
      </w:pPr>
      <w:r w:rsidRPr="0020773C">
        <w:rPr>
          <w:rFonts w:ascii="Times New Roman" w:hAnsi="Times New Roman" w:cs="Times New Roman"/>
          <w:color w:val="000000"/>
          <w:sz w:val="26"/>
          <w:szCs w:val="26"/>
        </w:rPr>
        <w:t>Genetic engineering for non-medical or harmful human development.</w:t>
      </w:r>
    </w:p>
    <w:p w14:paraId="790AF639" w14:textId="250BF92F" w:rsidR="00C12283" w:rsidRPr="0020773C" w:rsidRDefault="00223E7F" w:rsidP="0037663C">
      <w:pPr>
        <w:pStyle w:val="a3"/>
        <w:numPr>
          <w:ilvl w:val="0"/>
          <w:numId w:val="34"/>
        </w:numPr>
        <w:tabs>
          <w:tab w:val="left" w:pos="2128"/>
        </w:tabs>
        <w:autoSpaceDE w:val="0"/>
        <w:autoSpaceDN w:val="0"/>
        <w:adjustRightInd w:val="0"/>
        <w:spacing w:line="300" w:lineRule="exact"/>
        <w:ind w:leftChars="0" w:left="1582" w:hanging="140"/>
        <w:jc w:val="both"/>
        <w:rPr>
          <w:rFonts w:ascii="Times New Roman" w:hAnsi="Times New Roman" w:cs="Times New Roman"/>
          <w:color w:val="000000"/>
          <w:kern w:val="0"/>
          <w:sz w:val="26"/>
          <w:szCs w:val="26"/>
        </w:rPr>
      </w:pPr>
      <w:r w:rsidRPr="0020773C">
        <w:rPr>
          <w:rFonts w:ascii="Times New Roman" w:hAnsi="Times New Roman" w:cs="Times New Roman"/>
          <w:color w:val="000000"/>
          <w:sz w:val="26"/>
          <w:szCs w:val="26"/>
        </w:rPr>
        <w:t>Manufacture of pesticides and environmental agents.</w:t>
      </w:r>
    </w:p>
    <w:p w14:paraId="3494EA1C" w14:textId="576357F7" w:rsidR="00C12283" w:rsidRPr="0020773C" w:rsidRDefault="00223E7F" w:rsidP="0037663C">
      <w:pPr>
        <w:pStyle w:val="a3"/>
        <w:numPr>
          <w:ilvl w:val="0"/>
          <w:numId w:val="34"/>
        </w:numPr>
        <w:tabs>
          <w:tab w:val="left" w:pos="2142"/>
        </w:tabs>
        <w:autoSpaceDE w:val="0"/>
        <w:autoSpaceDN w:val="0"/>
        <w:adjustRightInd w:val="0"/>
        <w:spacing w:line="300" w:lineRule="exact"/>
        <w:ind w:leftChars="0" w:left="2142" w:hanging="700"/>
        <w:jc w:val="both"/>
        <w:rPr>
          <w:rFonts w:ascii="Times New Roman" w:hAnsi="Times New Roman" w:cs="Times New Roman"/>
          <w:color w:val="000000"/>
          <w:kern w:val="0"/>
          <w:sz w:val="26"/>
          <w:szCs w:val="26"/>
        </w:rPr>
      </w:pPr>
      <w:r w:rsidRPr="0020773C">
        <w:rPr>
          <w:rFonts w:ascii="Times New Roman" w:hAnsi="Times New Roman" w:cs="Times New Roman"/>
          <w:color w:val="000000"/>
          <w:sz w:val="26"/>
          <w:szCs w:val="26"/>
        </w:rPr>
        <w:t>Chemical products containing heavy metals that are harmful to the human health, such as cadmium, mercury, lead, arsenic, nickel, etc.</w:t>
      </w:r>
    </w:p>
    <w:p w14:paraId="749232C2" w14:textId="037CA9BE" w:rsidR="00C12283" w:rsidRPr="0020773C" w:rsidRDefault="00C12283" w:rsidP="0037663C">
      <w:pPr>
        <w:pStyle w:val="a3"/>
        <w:numPr>
          <w:ilvl w:val="0"/>
          <w:numId w:val="48"/>
        </w:numPr>
        <w:autoSpaceDE w:val="0"/>
        <w:autoSpaceDN w:val="0"/>
        <w:adjustRightInd w:val="0"/>
        <w:spacing w:line="300" w:lineRule="exact"/>
        <w:ind w:leftChars="0" w:left="1820" w:hanging="532"/>
        <w:jc w:val="both"/>
        <w:rPr>
          <w:rFonts w:ascii="Times New Roman" w:hAnsi="Times New Roman" w:cs="Times New Roman"/>
          <w:color w:val="000000" w:themeColor="text1"/>
        </w:rPr>
      </w:pPr>
      <w:r w:rsidRPr="0020773C">
        <w:rPr>
          <w:rFonts w:ascii="Times New Roman" w:hAnsi="Times New Roman" w:cs="Times New Roman"/>
          <w:color w:val="000000" w:themeColor="text1"/>
          <w:sz w:val="26"/>
          <w:szCs w:val="26"/>
        </w:rPr>
        <w:t xml:space="preserve">Emission-intensive industries: </w:t>
      </w:r>
      <w:r w:rsidRPr="0020773C">
        <w:rPr>
          <w:rFonts w:ascii="Times New Roman" w:hAnsi="Times New Roman" w:cs="Times New Roman"/>
          <w:color w:val="000000" w:themeColor="text1"/>
        </w:rPr>
        <w:t>Emission-intensive industries refer to those in Taiwan for which inventory and registration have been completed by the Environmental Protection Administration of Executive Yuan and which have been classified by the Directorate-General of Budget, Accounting and Statistics of Executive Yuan into the following categories:</w:t>
      </w:r>
    </w:p>
    <w:p w14:paraId="08950B1C" w14:textId="4D359B69" w:rsidR="00F9532C" w:rsidRPr="0020773C" w:rsidRDefault="00F9532C" w:rsidP="0037663C">
      <w:pPr>
        <w:pStyle w:val="Default"/>
        <w:tabs>
          <w:tab w:val="left" w:pos="1442"/>
          <w:tab w:val="left" w:pos="1918"/>
        </w:tabs>
        <w:spacing w:line="300" w:lineRule="exact"/>
        <w:ind w:leftChars="400" w:left="960" w:firstLineChars="200" w:firstLine="480"/>
        <w:jc w:val="both"/>
        <w:rPr>
          <w:rFonts w:ascii="Times New Roman" w:eastAsiaTheme="minorEastAsia" w:hAnsi="Times New Roman" w:cs="Times New Roman"/>
          <w:color w:val="000000" w:themeColor="text1"/>
        </w:rPr>
      </w:pPr>
      <w:r w:rsidRPr="0020773C">
        <w:rPr>
          <w:rFonts w:ascii="Times New Roman" w:hAnsi="Times New Roman" w:cs="Times New Roman"/>
          <w:color w:val="000000" w:themeColor="text1"/>
        </w:rPr>
        <w:t>(I)</w:t>
      </w:r>
      <w:r w:rsidRPr="0020773C">
        <w:rPr>
          <w:rFonts w:ascii="Times New Roman" w:hAnsi="Times New Roman" w:cs="Times New Roman"/>
          <w:color w:val="000000" w:themeColor="text1"/>
        </w:rPr>
        <w:tab/>
        <w:t>1700 Manufacture of Petroleum and Coal Products</w:t>
      </w:r>
    </w:p>
    <w:p w14:paraId="58D7E03A" w14:textId="1C97F672" w:rsidR="00F9532C" w:rsidRPr="0020773C" w:rsidRDefault="00F9532C" w:rsidP="0037663C">
      <w:pPr>
        <w:pStyle w:val="Default"/>
        <w:tabs>
          <w:tab w:val="left" w:pos="1442"/>
          <w:tab w:val="left" w:pos="1918"/>
        </w:tabs>
        <w:spacing w:line="300" w:lineRule="exact"/>
        <w:ind w:leftChars="400" w:left="960" w:firstLineChars="200" w:firstLine="480"/>
        <w:jc w:val="both"/>
        <w:rPr>
          <w:rFonts w:ascii="Times New Roman" w:eastAsiaTheme="minorEastAsia" w:hAnsi="Times New Roman" w:cs="Times New Roman"/>
          <w:color w:val="000000" w:themeColor="text1"/>
        </w:rPr>
      </w:pPr>
      <w:r w:rsidRPr="0020773C">
        <w:rPr>
          <w:rFonts w:ascii="Times New Roman" w:hAnsi="Times New Roman" w:cs="Times New Roman"/>
          <w:color w:val="000000" w:themeColor="text1"/>
        </w:rPr>
        <w:t>(II)</w:t>
      </w:r>
      <w:r w:rsidRPr="0020773C">
        <w:rPr>
          <w:rFonts w:ascii="Times New Roman" w:hAnsi="Times New Roman" w:cs="Times New Roman"/>
          <w:color w:val="000000" w:themeColor="text1"/>
        </w:rPr>
        <w:tab/>
        <w:t>1810 Manufacture of Raw Chemical Material</w:t>
      </w:r>
    </w:p>
    <w:p w14:paraId="6CC1ED9B" w14:textId="0F3FC343" w:rsidR="00F9532C" w:rsidRPr="0020773C" w:rsidRDefault="00F9532C" w:rsidP="0037663C">
      <w:pPr>
        <w:pStyle w:val="Default"/>
        <w:tabs>
          <w:tab w:val="left" w:pos="1442"/>
          <w:tab w:val="left" w:pos="1918"/>
        </w:tabs>
        <w:spacing w:line="300" w:lineRule="exact"/>
        <w:ind w:leftChars="400" w:left="960" w:firstLineChars="200" w:firstLine="480"/>
        <w:jc w:val="both"/>
        <w:rPr>
          <w:rFonts w:ascii="Times New Roman" w:eastAsiaTheme="minorEastAsia" w:hAnsi="Times New Roman" w:cs="Times New Roman"/>
          <w:color w:val="000000" w:themeColor="text1"/>
        </w:rPr>
      </w:pPr>
      <w:r w:rsidRPr="0020773C">
        <w:rPr>
          <w:rFonts w:ascii="Times New Roman" w:hAnsi="Times New Roman" w:cs="Times New Roman"/>
          <w:color w:val="000000" w:themeColor="text1"/>
        </w:rPr>
        <w:t>(III)</w:t>
      </w:r>
      <w:r w:rsidRPr="0020773C">
        <w:rPr>
          <w:rFonts w:ascii="Times New Roman" w:hAnsi="Times New Roman" w:cs="Times New Roman"/>
          <w:color w:val="000000" w:themeColor="text1"/>
        </w:rPr>
        <w:tab/>
        <w:t>1841 Manufacture of Plastic Materials</w:t>
      </w:r>
    </w:p>
    <w:p w14:paraId="66C539A9" w14:textId="5B5BA968" w:rsidR="00F9532C" w:rsidRPr="0020773C" w:rsidRDefault="00F9532C" w:rsidP="0037663C">
      <w:pPr>
        <w:pStyle w:val="Default"/>
        <w:tabs>
          <w:tab w:val="left" w:pos="1442"/>
          <w:tab w:val="left" w:pos="1918"/>
        </w:tabs>
        <w:spacing w:line="300" w:lineRule="exact"/>
        <w:ind w:leftChars="400" w:left="960" w:firstLineChars="200" w:firstLine="480"/>
        <w:jc w:val="both"/>
        <w:rPr>
          <w:rFonts w:ascii="Times New Roman" w:eastAsiaTheme="minorEastAsia" w:hAnsi="Times New Roman" w:cs="Times New Roman"/>
          <w:color w:val="000000" w:themeColor="text1"/>
        </w:rPr>
      </w:pPr>
      <w:r w:rsidRPr="0020773C">
        <w:rPr>
          <w:rFonts w:ascii="Times New Roman" w:hAnsi="Times New Roman" w:cs="Times New Roman"/>
          <w:color w:val="000000" w:themeColor="text1"/>
        </w:rPr>
        <w:t>(IV)</w:t>
      </w:r>
      <w:r w:rsidRPr="0020773C">
        <w:rPr>
          <w:rFonts w:ascii="Times New Roman" w:hAnsi="Times New Roman" w:cs="Times New Roman"/>
          <w:color w:val="000000" w:themeColor="text1"/>
        </w:rPr>
        <w:tab/>
        <w:t>2331 Manufacture of Cement</w:t>
      </w:r>
    </w:p>
    <w:p w14:paraId="3741E708" w14:textId="3D541D29" w:rsidR="00F9532C" w:rsidRPr="0020773C" w:rsidRDefault="00F9532C" w:rsidP="0037663C">
      <w:pPr>
        <w:pStyle w:val="Default"/>
        <w:tabs>
          <w:tab w:val="left" w:pos="1442"/>
          <w:tab w:val="left" w:pos="1918"/>
        </w:tabs>
        <w:spacing w:line="300" w:lineRule="exact"/>
        <w:ind w:leftChars="400" w:left="960" w:firstLineChars="200" w:firstLine="480"/>
        <w:jc w:val="both"/>
        <w:rPr>
          <w:rFonts w:ascii="Times New Roman" w:eastAsiaTheme="minorEastAsia" w:hAnsi="Times New Roman" w:cs="Times New Roman"/>
          <w:color w:val="000000" w:themeColor="text1"/>
        </w:rPr>
      </w:pPr>
      <w:r w:rsidRPr="0020773C">
        <w:rPr>
          <w:rFonts w:ascii="Times New Roman" w:hAnsi="Times New Roman" w:cs="Times New Roman"/>
          <w:color w:val="000000" w:themeColor="text1"/>
        </w:rPr>
        <w:t>(V)</w:t>
      </w:r>
      <w:r w:rsidRPr="0020773C">
        <w:rPr>
          <w:rFonts w:ascii="Times New Roman" w:hAnsi="Times New Roman" w:cs="Times New Roman"/>
          <w:color w:val="000000" w:themeColor="text1"/>
        </w:rPr>
        <w:tab/>
        <w:t>2411 Smelting and Refining of Iron and Steel</w:t>
      </w:r>
    </w:p>
    <w:p w14:paraId="7C5C4F7F" w14:textId="5EEF8DCD" w:rsidR="00F9532C" w:rsidRPr="0020773C" w:rsidRDefault="00F9532C" w:rsidP="0037663C">
      <w:pPr>
        <w:pStyle w:val="Default"/>
        <w:tabs>
          <w:tab w:val="left" w:pos="1442"/>
          <w:tab w:val="left" w:pos="1918"/>
        </w:tabs>
        <w:spacing w:line="300" w:lineRule="exact"/>
        <w:ind w:leftChars="400" w:left="960" w:firstLineChars="200" w:firstLine="480"/>
        <w:jc w:val="both"/>
        <w:rPr>
          <w:rFonts w:ascii="Times New Roman" w:eastAsiaTheme="minorEastAsia" w:hAnsi="Times New Roman" w:cs="Times New Roman"/>
          <w:sz w:val="26"/>
          <w:szCs w:val="26"/>
        </w:rPr>
      </w:pPr>
      <w:r w:rsidRPr="0020773C">
        <w:rPr>
          <w:rFonts w:ascii="Times New Roman" w:hAnsi="Times New Roman" w:cs="Times New Roman"/>
          <w:color w:val="000000" w:themeColor="text1"/>
        </w:rPr>
        <w:t>(VI)</w:t>
      </w:r>
      <w:r w:rsidRPr="0020773C">
        <w:rPr>
          <w:rFonts w:ascii="Times New Roman" w:hAnsi="Times New Roman" w:cs="Times New Roman"/>
          <w:color w:val="000000" w:themeColor="text1"/>
        </w:rPr>
        <w:tab/>
        <w:t>3510 Electricity Supply</w:t>
      </w:r>
    </w:p>
    <w:p w14:paraId="2093840E" w14:textId="5882B1AB" w:rsidR="00F9532C" w:rsidRPr="0020773C" w:rsidRDefault="00C749BB" w:rsidP="0037663C">
      <w:pPr>
        <w:pStyle w:val="Default"/>
        <w:tabs>
          <w:tab w:val="left" w:pos="1176"/>
        </w:tabs>
        <w:spacing w:line="300" w:lineRule="exact"/>
        <w:jc w:val="both"/>
        <w:rPr>
          <w:rFonts w:ascii="Times New Roman" w:eastAsiaTheme="minorEastAsia" w:hAnsi="Times New Roman" w:cs="Times New Roman"/>
          <w:color w:val="000000" w:themeColor="text1"/>
          <w:sz w:val="26"/>
          <w:szCs w:val="26"/>
        </w:rPr>
      </w:pPr>
      <w:r w:rsidRPr="0020773C">
        <w:rPr>
          <w:rFonts w:ascii="Times New Roman" w:hAnsi="Times New Roman" w:cs="Times New Roman"/>
          <w:sz w:val="26"/>
          <w:szCs w:val="26"/>
        </w:rPr>
        <w:t xml:space="preserve">Article 9 </w:t>
      </w:r>
      <w:r w:rsidRPr="0020773C">
        <w:rPr>
          <w:rFonts w:ascii="Times New Roman" w:hAnsi="Times New Roman" w:cs="Times New Roman"/>
          <w:color w:val="000000" w:themeColor="text1"/>
          <w:sz w:val="26"/>
          <w:szCs w:val="26"/>
        </w:rPr>
        <w:tab/>
        <w:t>(Matters to be handled)</w:t>
      </w:r>
    </w:p>
    <w:p w14:paraId="1E782A32" w14:textId="77777777" w:rsidR="00AF1975" w:rsidRPr="0020773C" w:rsidRDefault="00AF1975" w:rsidP="0037663C">
      <w:pPr>
        <w:pStyle w:val="Default"/>
        <w:spacing w:line="300" w:lineRule="exact"/>
        <w:ind w:left="1191"/>
        <w:jc w:val="both"/>
        <w:rPr>
          <w:rFonts w:ascii="Times New Roman" w:eastAsiaTheme="minorEastAsia" w:hAnsi="Times New Roman" w:cs="Times New Roman"/>
          <w:color w:val="000000" w:themeColor="text1"/>
          <w:sz w:val="26"/>
          <w:szCs w:val="26"/>
        </w:rPr>
      </w:pPr>
      <w:r w:rsidRPr="0020773C">
        <w:rPr>
          <w:rFonts w:ascii="Times New Roman" w:hAnsi="Times New Roman" w:cs="Times New Roman"/>
          <w:color w:val="000000" w:themeColor="text1"/>
          <w:sz w:val="26"/>
          <w:szCs w:val="26"/>
        </w:rPr>
        <w:t>Investments in and credits extended to industries or entities with which all subsidiaries are prohibited from engaging in business dealings shall be cleared within six months after the implementation of these Guidelines or recovered upon contract expiration.</w:t>
      </w:r>
    </w:p>
    <w:p w14:paraId="31295BAD" w14:textId="77777777" w:rsidR="0022442F" w:rsidRPr="0020773C" w:rsidRDefault="00AF1975" w:rsidP="0037663C">
      <w:pPr>
        <w:pStyle w:val="Default"/>
        <w:spacing w:line="300" w:lineRule="exact"/>
        <w:ind w:left="1191"/>
        <w:jc w:val="both"/>
        <w:rPr>
          <w:rFonts w:ascii="Times New Roman" w:eastAsiaTheme="minorEastAsia" w:hAnsi="Times New Roman" w:cs="Times New Roman"/>
          <w:color w:val="000000" w:themeColor="text1"/>
          <w:sz w:val="26"/>
          <w:szCs w:val="26"/>
        </w:rPr>
      </w:pPr>
      <w:r w:rsidRPr="0020773C">
        <w:rPr>
          <w:rFonts w:ascii="Times New Roman" w:hAnsi="Times New Roman" w:cs="Times New Roman"/>
          <w:color w:val="000000" w:themeColor="text1"/>
          <w:sz w:val="26"/>
          <w:szCs w:val="26"/>
        </w:rPr>
        <w:t>All subsidiaries shall adopt differentiated risk management measures before and after credit lending to or investment in sensitive industries or entities defined in Article 8 of these Guidelines:</w:t>
      </w:r>
    </w:p>
    <w:p w14:paraId="33F5F7BF" w14:textId="50987D6F" w:rsidR="00F9532C" w:rsidRPr="0020773C" w:rsidRDefault="00F9532C" w:rsidP="0037663C">
      <w:pPr>
        <w:pStyle w:val="Default"/>
        <w:numPr>
          <w:ilvl w:val="0"/>
          <w:numId w:val="46"/>
        </w:numPr>
        <w:spacing w:line="300" w:lineRule="exact"/>
        <w:ind w:left="1806" w:hanging="518"/>
        <w:jc w:val="both"/>
        <w:rPr>
          <w:rFonts w:ascii="Times New Roman" w:eastAsiaTheme="minorEastAsia" w:hAnsi="Times New Roman" w:cs="Times New Roman"/>
          <w:color w:val="000000" w:themeColor="text1"/>
          <w:sz w:val="26"/>
          <w:szCs w:val="26"/>
        </w:rPr>
      </w:pPr>
      <w:r w:rsidRPr="0020773C">
        <w:rPr>
          <w:rFonts w:ascii="Times New Roman" w:hAnsi="Times New Roman" w:cs="Times New Roman"/>
          <w:color w:val="000000" w:themeColor="text1"/>
          <w:sz w:val="26"/>
          <w:szCs w:val="26"/>
        </w:rPr>
        <w:t>When processing applications for credit extension or investment, subsidiaries shall perform due diligence and prudent evaluation and approve such applications for processing only if evaluations indicate that an application poses no adverse effect on sustainable development or specific terms and conditions (e.g., ESG risk improvement plans are included in credit or investment conditions or commitments) are adopted to reduce any adverse impact on ESG and exception management mechanism has been established.</w:t>
      </w:r>
    </w:p>
    <w:p w14:paraId="7E2E3186" w14:textId="3C63CB27" w:rsidR="00F9532C" w:rsidRPr="0020773C" w:rsidRDefault="00F661B1" w:rsidP="0037663C">
      <w:pPr>
        <w:pStyle w:val="Default"/>
        <w:numPr>
          <w:ilvl w:val="0"/>
          <w:numId w:val="46"/>
        </w:numPr>
        <w:spacing w:line="300" w:lineRule="exact"/>
        <w:ind w:left="1806" w:hanging="518"/>
        <w:jc w:val="both"/>
        <w:rPr>
          <w:rFonts w:ascii="Times New Roman" w:eastAsiaTheme="minorEastAsia" w:hAnsi="Times New Roman" w:cs="Times New Roman"/>
          <w:color w:val="000000" w:themeColor="text1"/>
          <w:sz w:val="26"/>
          <w:szCs w:val="26"/>
        </w:rPr>
      </w:pPr>
      <w:r w:rsidRPr="0020773C">
        <w:rPr>
          <w:rFonts w:ascii="Times New Roman" w:hAnsi="Times New Roman" w:cs="Times New Roman"/>
          <w:color w:val="000000" w:themeColor="text1"/>
          <w:sz w:val="26"/>
          <w:szCs w:val="26"/>
        </w:rPr>
        <w:t xml:space="preserve">If a customer or counterparty violates the credit or investment conditions or commitments after a subsidiary extends credit to or invests in that customer or counterparty, the subsidiary shall engage with the violator and request the violator to provide an explanation </w:t>
      </w:r>
      <w:r w:rsidRPr="0020773C">
        <w:rPr>
          <w:rFonts w:ascii="Times New Roman" w:hAnsi="Times New Roman" w:cs="Times New Roman"/>
          <w:color w:val="000000" w:themeColor="text1"/>
          <w:sz w:val="26"/>
          <w:szCs w:val="26"/>
        </w:rPr>
        <w:lastRenderedPageBreak/>
        <w:t>and specific corrective action. If engagement fails, public information on relevant corrections shall be provided. If correction cannot be made effectively, the subsidiary shall not grant increased credit line or shall gradually withdrawal the credit line or investment.</w:t>
      </w:r>
    </w:p>
    <w:p w14:paraId="4D2EEB66" w14:textId="77777777" w:rsidR="00F9532C" w:rsidRPr="0020773C" w:rsidRDefault="00F9532C" w:rsidP="0037663C">
      <w:pPr>
        <w:pStyle w:val="Default"/>
        <w:numPr>
          <w:ilvl w:val="0"/>
          <w:numId w:val="46"/>
        </w:numPr>
        <w:spacing w:line="300" w:lineRule="exact"/>
        <w:ind w:left="1806" w:hanging="518"/>
        <w:jc w:val="both"/>
        <w:rPr>
          <w:rFonts w:ascii="Times New Roman" w:eastAsiaTheme="minorEastAsia" w:hAnsi="Times New Roman" w:cs="Times New Roman"/>
          <w:color w:val="000000" w:themeColor="text1"/>
          <w:sz w:val="26"/>
          <w:szCs w:val="26"/>
        </w:rPr>
      </w:pPr>
      <w:r w:rsidRPr="0020773C">
        <w:rPr>
          <w:rFonts w:ascii="Times New Roman" w:hAnsi="Times New Roman" w:cs="Times New Roman"/>
          <w:color w:val="000000" w:themeColor="text1"/>
          <w:sz w:val="26"/>
          <w:szCs w:val="26"/>
        </w:rPr>
        <w:t>The subsidiary shall establish a control mechanism to gradually reduce its asset portfolio and shall set credit line or investment limits for industries or entities that exert a high level of environmental and social impact and for emission-intensive industries.</w:t>
      </w:r>
    </w:p>
    <w:p w14:paraId="29ACF8DD" w14:textId="77777777" w:rsidR="00F9532C" w:rsidRPr="0020773C" w:rsidRDefault="00F9532C" w:rsidP="0037663C">
      <w:pPr>
        <w:autoSpaceDE w:val="0"/>
        <w:autoSpaceDN w:val="0"/>
        <w:adjustRightInd w:val="0"/>
        <w:spacing w:line="300" w:lineRule="exact"/>
        <w:jc w:val="both"/>
        <w:rPr>
          <w:rFonts w:ascii="Times New Roman" w:hAnsi="Times New Roman" w:cs="Times New Roman"/>
          <w:color w:val="000000"/>
          <w:kern w:val="0"/>
          <w:sz w:val="26"/>
          <w:szCs w:val="26"/>
        </w:rPr>
      </w:pPr>
    </w:p>
    <w:p w14:paraId="6603A0C2" w14:textId="474923D9" w:rsidR="001A53E3" w:rsidRPr="0020773C" w:rsidRDefault="00C749BB" w:rsidP="0037663C">
      <w:pPr>
        <w:pStyle w:val="Default"/>
        <w:tabs>
          <w:tab w:val="left" w:pos="1176"/>
        </w:tabs>
        <w:spacing w:line="300" w:lineRule="exact"/>
        <w:jc w:val="both"/>
        <w:rPr>
          <w:rFonts w:ascii="Times New Roman" w:eastAsiaTheme="minorEastAsia" w:hAnsi="Times New Roman" w:cs="Times New Roman"/>
          <w:sz w:val="26"/>
          <w:szCs w:val="26"/>
        </w:rPr>
      </w:pPr>
      <w:r w:rsidRPr="0020773C">
        <w:rPr>
          <w:rFonts w:ascii="Times New Roman" w:hAnsi="Times New Roman" w:cs="Times New Roman"/>
          <w:sz w:val="26"/>
          <w:szCs w:val="26"/>
        </w:rPr>
        <w:t>Article 10</w:t>
      </w:r>
      <w:r w:rsidRPr="0020773C">
        <w:rPr>
          <w:rFonts w:ascii="Times New Roman" w:hAnsi="Times New Roman" w:cs="Times New Roman"/>
          <w:sz w:val="26"/>
          <w:szCs w:val="26"/>
        </w:rPr>
        <w:tab/>
        <w:t>(Exemption)</w:t>
      </w:r>
    </w:p>
    <w:p w14:paraId="67DEE86F" w14:textId="34CE48A8" w:rsidR="00F11175" w:rsidRPr="0020773C" w:rsidRDefault="00F661B1" w:rsidP="0037663C">
      <w:pPr>
        <w:pStyle w:val="Default"/>
        <w:spacing w:line="300" w:lineRule="exact"/>
        <w:ind w:left="1191"/>
        <w:jc w:val="both"/>
        <w:rPr>
          <w:rFonts w:ascii="Times New Roman" w:eastAsiaTheme="minorEastAsia" w:hAnsi="Times New Roman" w:cs="Times New Roman"/>
          <w:sz w:val="26"/>
          <w:szCs w:val="26"/>
        </w:rPr>
      </w:pPr>
      <w:r w:rsidRPr="0020773C">
        <w:rPr>
          <w:rFonts w:ascii="Times New Roman" w:hAnsi="Times New Roman" w:cs="Times New Roman"/>
          <w:sz w:val="26"/>
          <w:szCs w:val="26"/>
        </w:rPr>
        <w:t>Subsidiaries may classify and manage their investment portfolios based on business characteristics. Financial assets classified as those measured at fair value through profit or loss may be exempted from these Guidelines.</w:t>
      </w:r>
    </w:p>
    <w:p w14:paraId="7DF47832" w14:textId="33CC7FA1" w:rsidR="0043038D" w:rsidRPr="0020773C" w:rsidRDefault="00C749BB" w:rsidP="0037663C">
      <w:pPr>
        <w:pStyle w:val="Default"/>
        <w:tabs>
          <w:tab w:val="left" w:pos="1176"/>
        </w:tabs>
        <w:spacing w:line="300" w:lineRule="exact"/>
        <w:jc w:val="both"/>
        <w:rPr>
          <w:rFonts w:ascii="Times New Roman" w:eastAsiaTheme="minorEastAsia" w:hAnsi="Times New Roman" w:cs="Times New Roman"/>
          <w:sz w:val="26"/>
          <w:szCs w:val="26"/>
        </w:rPr>
      </w:pPr>
      <w:r w:rsidRPr="0020773C">
        <w:rPr>
          <w:rFonts w:ascii="Times New Roman" w:hAnsi="Times New Roman" w:cs="Times New Roman"/>
          <w:sz w:val="26"/>
          <w:szCs w:val="26"/>
        </w:rPr>
        <w:t>Article 11</w:t>
      </w:r>
      <w:r w:rsidRPr="0020773C">
        <w:rPr>
          <w:rFonts w:ascii="Times New Roman" w:hAnsi="Times New Roman" w:cs="Times New Roman"/>
          <w:sz w:val="26"/>
          <w:szCs w:val="26"/>
        </w:rPr>
        <w:tab/>
        <w:t>(Other Matters)</w:t>
      </w:r>
    </w:p>
    <w:p w14:paraId="72ED70C5" w14:textId="156BAE67" w:rsidR="00862811" w:rsidRPr="0020773C" w:rsidRDefault="00F661B1" w:rsidP="0037663C">
      <w:pPr>
        <w:pStyle w:val="Default"/>
        <w:spacing w:line="300" w:lineRule="exact"/>
        <w:ind w:left="1191"/>
        <w:jc w:val="both"/>
        <w:rPr>
          <w:rFonts w:ascii="Times New Roman" w:eastAsiaTheme="minorEastAsia" w:hAnsi="Times New Roman" w:cs="Times New Roman"/>
          <w:sz w:val="26"/>
          <w:szCs w:val="26"/>
        </w:rPr>
      </w:pPr>
      <w:r w:rsidRPr="0020773C">
        <w:rPr>
          <w:rFonts w:ascii="Times New Roman" w:hAnsi="Times New Roman" w:cs="Times New Roman"/>
          <w:sz w:val="26"/>
          <w:szCs w:val="26"/>
        </w:rPr>
        <w:t>Matters not specified in these Guidelines shall be governed by applicable laws and regulations and the Company's regulations.</w:t>
      </w:r>
    </w:p>
    <w:p w14:paraId="2E565E66" w14:textId="5BF105EF" w:rsidR="00C12283" w:rsidRPr="0020773C" w:rsidRDefault="00C749BB" w:rsidP="0037663C">
      <w:pPr>
        <w:pStyle w:val="Default"/>
        <w:tabs>
          <w:tab w:val="left" w:pos="1176"/>
        </w:tabs>
        <w:spacing w:line="300" w:lineRule="exact"/>
        <w:jc w:val="both"/>
        <w:rPr>
          <w:rFonts w:ascii="Times New Roman" w:eastAsiaTheme="minorEastAsia" w:hAnsi="Times New Roman" w:cs="Times New Roman"/>
          <w:sz w:val="26"/>
          <w:szCs w:val="26"/>
        </w:rPr>
      </w:pPr>
      <w:r w:rsidRPr="0020773C">
        <w:rPr>
          <w:rFonts w:ascii="Times New Roman" w:hAnsi="Times New Roman" w:cs="Times New Roman"/>
          <w:sz w:val="26"/>
          <w:szCs w:val="26"/>
        </w:rPr>
        <w:t>Article 12</w:t>
      </w:r>
      <w:r w:rsidRPr="0020773C">
        <w:rPr>
          <w:rFonts w:ascii="Times New Roman" w:hAnsi="Times New Roman" w:cs="Times New Roman"/>
          <w:sz w:val="26"/>
          <w:szCs w:val="26"/>
        </w:rPr>
        <w:tab/>
        <w:t>(Level of approval authority)</w:t>
      </w:r>
    </w:p>
    <w:p w14:paraId="6772BDED" w14:textId="42704D8A" w:rsidR="00C12283" w:rsidRPr="0020773C" w:rsidRDefault="00C12283" w:rsidP="0037663C">
      <w:pPr>
        <w:pStyle w:val="Default"/>
        <w:spacing w:line="300" w:lineRule="exact"/>
        <w:ind w:left="1191"/>
        <w:jc w:val="both"/>
        <w:rPr>
          <w:rFonts w:ascii="Times New Roman" w:eastAsiaTheme="minorEastAsia" w:hAnsi="Times New Roman" w:cs="Times New Roman"/>
          <w:sz w:val="26"/>
          <w:szCs w:val="26"/>
        </w:rPr>
      </w:pPr>
      <w:r w:rsidRPr="0020773C">
        <w:rPr>
          <w:rFonts w:ascii="Times New Roman" w:hAnsi="Times New Roman" w:cs="Times New Roman"/>
          <w:sz w:val="26"/>
          <w:szCs w:val="26"/>
        </w:rPr>
        <w:t>The Guidelines shall become effective following the approval of the President. The same procedures shall apply to all future amendments or abolishment.</w:t>
      </w:r>
    </w:p>
    <w:p w14:paraId="7C2B3147" w14:textId="7238F576" w:rsidR="00E44E5F" w:rsidRPr="0020773C" w:rsidRDefault="00E44E5F" w:rsidP="0037663C">
      <w:pPr>
        <w:pStyle w:val="Default"/>
        <w:spacing w:line="300" w:lineRule="exact"/>
        <w:jc w:val="both"/>
        <w:rPr>
          <w:rFonts w:ascii="Times New Roman" w:eastAsiaTheme="minorEastAsia" w:hAnsi="Times New Roman" w:cs="Times New Roman"/>
          <w:color w:val="000000" w:themeColor="text1"/>
          <w:sz w:val="26"/>
          <w:szCs w:val="26"/>
        </w:rPr>
      </w:pPr>
    </w:p>
    <w:sectPr w:rsidR="00E44E5F" w:rsidRPr="0020773C" w:rsidSect="00C55CDC">
      <w:headerReference w:type="default" r:id="rId8"/>
      <w:footerReference w:type="default" r:id="rId9"/>
      <w:pgSz w:w="11906" w:h="16838"/>
      <w:pgMar w:top="1191"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859FE" w14:textId="77777777" w:rsidR="004138ED" w:rsidRDefault="004138ED" w:rsidP="007C3F1E">
      <w:r>
        <w:separator/>
      </w:r>
    </w:p>
  </w:endnote>
  <w:endnote w:type="continuationSeparator" w:id="0">
    <w:p w14:paraId="77FF179B" w14:textId="77777777" w:rsidR="004138ED" w:rsidRDefault="004138ED" w:rsidP="007C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軟正黑體">
    <w:altName w:val="Microsoft Jheng He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724"/>
      <w:docPartObj>
        <w:docPartGallery w:val="Page Numbers (Bottom of Page)"/>
        <w:docPartUnique/>
      </w:docPartObj>
    </w:sdtPr>
    <w:sdtEndPr/>
    <w:sdtContent>
      <w:p w14:paraId="3ADC61CD" w14:textId="77777777" w:rsidR="005A4535" w:rsidRPr="0020773C" w:rsidRDefault="005A4535">
        <w:pPr>
          <w:pStyle w:val="a8"/>
          <w:jc w:val="center"/>
        </w:pPr>
        <w:r w:rsidRPr="0020773C">
          <w:fldChar w:fldCharType="begin"/>
        </w:r>
        <w:r w:rsidRPr="0020773C">
          <w:instrText>PAGE   \* MERGEFORMAT</w:instrText>
        </w:r>
        <w:r w:rsidRPr="0020773C">
          <w:fldChar w:fldCharType="separate"/>
        </w:r>
        <w:r w:rsidR="004C3CA0" w:rsidRPr="0020773C">
          <w:t>6</w:t>
        </w:r>
        <w:r w:rsidRPr="0020773C">
          <w:fldChar w:fldCharType="end"/>
        </w:r>
      </w:p>
    </w:sdtContent>
  </w:sdt>
  <w:p w14:paraId="33A0C054" w14:textId="77777777" w:rsidR="005A4535" w:rsidRPr="0020773C" w:rsidRDefault="005A45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2C2D" w14:textId="77777777" w:rsidR="004138ED" w:rsidRDefault="004138ED" w:rsidP="007C3F1E">
      <w:r>
        <w:separator/>
      </w:r>
    </w:p>
  </w:footnote>
  <w:footnote w:type="continuationSeparator" w:id="0">
    <w:p w14:paraId="166789E7" w14:textId="77777777" w:rsidR="004138ED" w:rsidRDefault="004138ED" w:rsidP="007C3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71A4" w14:textId="5D50F203" w:rsidR="00DF2E2E" w:rsidRPr="0020773C" w:rsidRDefault="008F0279" w:rsidP="008F0279">
    <w:pPr>
      <w:pStyle w:val="a6"/>
      <w:jc w:val="right"/>
      <w:rPr>
        <w:rFonts w:ascii="Times New Roman" w:eastAsia="標楷體" w:hAnsi="Times New Roman" w:cs="Times New Roman"/>
      </w:rPr>
    </w:pPr>
    <w:r w:rsidRPr="0020773C">
      <w:rPr>
        <w:rFonts w:ascii="Times New Roman" w:hAnsi="Times New Roman"/>
      </w:rPr>
      <w:t>31PF008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076"/>
    <w:multiLevelType w:val="hybridMultilevel"/>
    <w:tmpl w:val="6F522BFE"/>
    <w:lvl w:ilvl="0" w:tplc="34C00458">
      <w:start w:val="1"/>
      <w:numFmt w:val="taiwaneseCountingThousand"/>
      <w:lvlText w:val="%1、"/>
      <w:lvlJc w:val="left"/>
      <w:pPr>
        <w:tabs>
          <w:tab w:val="num" w:pos="874"/>
        </w:tabs>
        <w:ind w:left="874" w:hanging="480"/>
      </w:pPr>
      <w:rPr>
        <w:rFonts w:hint="default"/>
        <w:b w:val="0"/>
      </w:rPr>
    </w:lvl>
    <w:lvl w:ilvl="1" w:tplc="04090019" w:tentative="1">
      <w:start w:val="1"/>
      <w:numFmt w:val="ideographTraditional"/>
      <w:lvlText w:val="%2、"/>
      <w:lvlJc w:val="left"/>
      <w:pPr>
        <w:tabs>
          <w:tab w:val="num" w:pos="1354"/>
        </w:tabs>
        <w:ind w:left="1354" w:hanging="480"/>
      </w:pPr>
    </w:lvl>
    <w:lvl w:ilvl="2" w:tplc="0409001B" w:tentative="1">
      <w:start w:val="1"/>
      <w:numFmt w:val="lowerRoman"/>
      <w:lvlText w:val="%3."/>
      <w:lvlJc w:val="right"/>
      <w:pPr>
        <w:tabs>
          <w:tab w:val="num" w:pos="1834"/>
        </w:tabs>
        <w:ind w:left="1834" w:hanging="480"/>
      </w:pPr>
    </w:lvl>
    <w:lvl w:ilvl="3" w:tplc="0409000F" w:tentative="1">
      <w:start w:val="1"/>
      <w:numFmt w:val="decimal"/>
      <w:lvlText w:val="%4."/>
      <w:lvlJc w:val="left"/>
      <w:pPr>
        <w:tabs>
          <w:tab w:val="num" w:pos="2314"/>
        </w:tabs>
        <w:ind w:left="2314" w:hanging="480"/>
      </w:pPr>
    </w:lvl>
    <w:lvl w:ilvl="4" w:tplc="04090019" w:tentative="1">
      <w:start w:val="1"/>
      <w:numFmt w:val="ideographTraditional"/>
      <w:lvlText w:val="%5、"/>
      <w:lvlJc w:val="left"/>
      <w:pPr>
        <w:tabs>
          <w:tab w:val="num" w:pos="2794"/>
        </w:tabs>
        <w:ind w:left="2794" w:hanging="480"/>
      </w:pPr>
    </w:lvl>
    <w:lvl w:ilvl="5" w:tplc="0409001B" w:tentative="1">
      <w:start w:val="1"/>
      <w:numFmt w:val="lowerRoman"/>
      <w:lvlText w:val="%6."/>
      <w:lvlJc w:val="right"/>
      <w:pPr>
        <w:tabs>
          <w:tab w:val="num" w:pos="3274"/>
        </w:tabs>
        <w:ind w:left="3274" w:hanging="480"/>
      </w:pPr>
    </w:lvl>
    <w:lvl w:ilvl="6" w:tplc="0409000F" w:tentative="1">
      <w:start w:val="1"/>
      <w:numFmt w:val="decimal"/>
      <w:lvlText w:val="%7."/>
      <w:lvlJc w:val="left"/>
      <w:pPr>
        <w:tabs>
          <w:tab w:val="num" w:pos="3754"/>
        </w:tabs>
        <w:ind w:left="3754" w:hanging="480"/>
      </w:pPr>
    </w:lvl>
    <w:lvl w:ilvl="7" w:tplc="04090019" w:tentative="1">
      <w:start w:val="1"/>
      <w:numFmt w:val="ideographTraditional"/>
      <w:lvlText w:val="%8、"/>
      <w:lvlJc w:val="left"/>
      <w:pPr>
        <w:tabs>
          <w:tab w:val="num" w:pos="4234"/>
        </w:tabs>
        <w:ind w:left="4234" w:hanging="480"/>
      </w:pPr>
    </w:lvl>
    <w:lvl w:ilvl="8" w:tplc="0409001B" w:tentative="1">
      <w:start w:val="1"/>
      <w:numFmt w:val="lowerRoman"/>
      <w:lvlText w:val="%9."/>
      <w:lvlJc w:val="right"/>
      <w:pPr>
        <w:tabs>
          <w:tab w:val="num" w:pos="4714"/>
        </w:tabs>
        <w:ind w:left="4714" w:hanging="480"/>
      </w:pPr>
    </w:lvl>
  </w:abstractNum>
  <w:abstractNum w:abstractNumId="1" w15:restartNumberingAfterBreak="0">
    <w:nsid w:val="00CD6EC5"/>
    <w:multiLevelType w:val="hybridMultilevel"/>
    <w:tmpl w:val="67B046AA"/>
    <w:lvl w:ilvl="0" w:tplc="4B1A9A14">
      <w:start w:val="1"/>
      <w:numFmt w:val="taiwaneseCountingThousand"/>
      <w:lvlText w:val="(%1)"/>
      <w:lvlJc w:val="left"/>
      <w:pPr>
        <w:ind w:left="1485" w:hanging="525"/>
      </w:pPr>
      <w:rPr>
        <w:rFonts w:hint="default"/>
      </w:rPr>
    </w:lvl>
    <w:lvl w:ilvl="1" w:tplc="496E6236">
      <w:start w:val="8"/>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4CB1D06"/>
    <w:multiLevelType w:val="hybridMultilevel"/>
    <w:tmpl w:val="92506906"/>
    <w:lvl w:ilvl="0" w:tplc="21ECA836">
      <w:start w:val="1"/>
      <w:numFmt w:val="taiwaneseCountingThousand"/>
      <w:lvlText w:val="(%1)"/>
      <w:lvlJc w:val="left"/>
      <w:pPr>
        <w:ind w:left="1562" w:hanging="60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 w15:restartNumberingAfterBreak="0">
    <w:nsid w:val="0B253247"/>
    <w:multiLevelType w:val="hybridMultilevel"/>
    <w:tmpl w:val="26A61A10"/>
    <w:lvl w:ilvl="0" w:tplc="43DA7660">
      <w:start w:val="1"/>
      <w:numFmt w:val="taiwaneseCountingThousand"/>
      <w:lvlText w:val="%1、"/>
      <w:lvlJc w:val="left"/>
      <w:pPr>
        <w:ind w:left="1134" w:hanging="715"/>
      </w:pPr>
      <w:rPr>
        <w:rFonts w:hint="eastAsia"/>
      </w:rPr>
    </w:lvl>
    <w:lvl w:ilvl="1" w:tplc="8F0C6B20">
      <w:start w:val="1"/>
      <w:numFmt w:val="taiwaneseCountingThousand"/>
      <w:lvlText w:val="（%2）"/>
      <w:lvlJc w:val="center"/>
      <w:pPr>
        <w:ind w:left="1928" w:hanging="454"/>
      </w:pPr>
      <w:rPr>
        <w:rFonts w:hint="default"/>
        <w:lang w:val="en-US"/>
      </w:rPr>
    </w:lvl>
    <w:lvl w:ilvl="2" w:tplc="0409001B">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4" w15:restartNumberingAfterBreak="0">
    <w:nsid w:val="0D21614A"/>
    <w:multiLevelType w:val="hybridMultilevel"/>
    <w:tmpl w:val="7FECDD3E"/>
    <w:lvl w:ilvl="0" w:tplc="862CA82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BA2F09"/>
    <w:multiLevelType w:val="hybridMultilevel"/>
    <w:tmpl w:val="26A61A10"/>
    <w:lvl w:ilvl="0" w:tplc="43DA7660">
      <w:start w:val="1"/>
      <w:numFmt w:val="taiwaneseCountingThousand"/>
      <w:lvlText w:val="%1、"/>
      <w:lvlJc w:val="left"/>
      <w:pPr>
        <w:ind w:left="1134" w:hanging="715"/>
      </w:pPr>
      <w:rPr>
        <w:rFonts w:hint="eastAsia"/>
      </w:rPr>
    </w:lvl>
    <w:lvl w:ilvl="1" w:tplc="8F0C6B20">
      <w:start w:val="1"/>
      <w:numFmt w:val="taiwaneseCountingThousand"/>
      <w:lvlText w:val="（%2）"/>
      <w:lvlJc w:val="center"/>
      <w:pPr>
        <w:ind w:left="1928" w:hanging="454"/>
      </w:pPr>
      <w:rPr>
        <w:rFonts w:hint="default"/>
        <w:lang w:val="en-US"/>
      </w:rPr>
    </w:lvl>
    <w:lvl w:ilvl="2" w:tplc="0409001B">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6" w15:restartNumberingAfterBreak="0">
    <w:nsid w:val="13CD4E16"/>
    <w:multiLevelType w:val="hybridMultilevel"/>
    <w:tmpl w:val="7FECDD3E"/>
    <w:lvl w:ilvl="0" w:tplc="862CA82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D74287"/>
    <w:multiLevelType w:val="hybridMultilevel"/>
    <w:tmpl w:val="943EADB2"/>
    <w:lvl w:ilvl="0" w:tplc="4B1A9A14">
      <w:start w:val="1"/>
      <w:numFmt w:val="taiwaneseCountingThousand"/>
      <w:lvlText w:val="(%1)"/>
      <w:lvlJc w:val="left"/>
      <w:pPr>
        <w:ind w:left="1485" w:hanging="52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5C01387"/>
    <w:multiLevelType w:val="hybridMultilevel"/>
    <w:tmpl w:val="10280C04"/>
    <w:lvl w:ilvl="0" w:tplc="899A49C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9" w15:restartNumberingAfterBreak="0">
    <w:nsid w:val="18CF62F4"/>
    <w:multiLevelType w:val="hybridMultilevel"/>
    <w:tmpl w:val="67B046AA"/>
    <w:lvl w:ilvl="0" w:tplc="4B1A9A14">
      <w:start w:val="1"/>
      <w:numFmt w:val="taiwaneseCountingThousand"/>
      <w:lvlText w:val="(%1)"/>
      <w:lvlJc w:val="left"/>
      <w:pPr>
        <w:ind w:left="1485" w:hanging="525"/>
      </w:pPr>
      <w:rPr>
        <w:rFonts w:hint="default"/>
      </w:rPr>
    </w:lvl>
    <w:lvl w:ilvl="1" w:tplc="496E6236">
      <w:start w:val="8"/>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AF42EB4"/>
    <w:multiLevelType w:val="hybridMultilevel"/>
    <w:tmpl w:val="8AC2D748"/>
    <w:lvl w:ilvl="0" w:tplc="95902402">
      <w:start w:val="1"/>
      <w:numFmt w:val="upperRoman"/>
      <w:lvlText w:val="(%1)"/>
      <w:lvlJc w:val="left"/>
      <w:pPr>
        <w:ind w:left="1485" w:hanging="525"/>
      </w:pPr>
      <w:rPr>
        <w:rFonts w:ascii="Times New Roman" w:eastAsiaTheme="minorEastAsia"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B605794"/>
    <w:multiLevelType w:val="hybridMultilevel"/>
    <w:tmpl w:val="160ACB80"/>
    <w:lvl w:ilvl="0" w:tplc="941219AE">
      <w:start w:val="1"/>
      <w:numFmt w:val="taiwaneseCountingThousand"/>
      <w:suff w:val="nothing"/>
      <w:lvlText w:val="%1、"/>
      <w:lvlJc w:val="left"/>
      <w:pPr>
        <w:ind w:left="498" w:hanging="480"/>
      </w:pPr>
      <w:rPr>
        <w:rFonts w:hint="eastAsia"/>
      </w:rPr>
    </w:lvl>
    <w:lvl w:ilvl="1" w:tplc="04090019" w:tentative="1">
      <w:start w:val="1"/>
      <w:numFmt w:val="ideographTraditional"/>
      <w:lvlText w:val="%2、"/>
      <w:lvlJc w:val="left"/>
      <w:pPr>
        <w:ind w:left="978" w:hanging="480"/>
      </w:pPr>
    </w:lvl>
    <w:lvl w:ilvl="2" w:tplc="0409001B" w:tentative="1">
      <w:start w:val="1"/>
      <w:numFmt w:val="lowerRoman"/>
      <w:lvlText w:val="%3."/>
      <w:lvlJc w:val="right"/>
      <w:pPr>
        <w:ind w:left="1458" w:hanging="480"/>
      </w:pPr>
    </w:lvl>
    <w:lvl w:ilvl="3" w:tplc="0409000F" w:tentative="1">
      <w:start w:val="1"/>
      <w:numFmt w:val="decimal"/>
      <w:lvlText w:val="%4."/>
      <w:lvlJc w:val="left"/>
      <w:pPr>
        <w:ind w:left="1938" w:hanging="480"/>
      </w:pPr>
    </w:lvl>
    <w:lvl w:ilvl="4" w:tplc="04090019" w:tentative="1">
      <w:start w:val="1"/>
      <w:numFmt w:val="ideographTraditional"/>
      <w:lvlText w:val="%5、"/>
      <w:lvlJc w:val="left"/>
      <w:pPr>
        <w:ind w:left="2418" w:hanging="480"/>
      </w:pPr>
    </w:lvl>
    <w:lvl w:ilvl="5" w:tplc="0409001B" w:tentative="1">
      <w:start w:val="1"/>
      <w:numFmt w:val="lowerRoman"/>
      <w:lvlText w:val="%6."/>
      <w:lvlJc w:val="right"/>
      <w:pPr>
        <w:ind w:left="2898" w:hanging="480"/>
      </w:pPr>
    </w:lvl>
    <w:lvl w:ilvl="6" w:tplc="0409000F" w:tentative="1">
      <w:start w:val="1"/>
      <w:numFmt w:val="decimal"/>
      <w:lvlText w:val="%7."/>
      <w:lvlJc w:val="left"/>
      <w:pPr>
        <w:ind w:left="3378" w:hanging="480"/>
      </w:pPr>
    </w:lvl>
    <w:lvl w:ilvl="7" w:tplc="04090019" w:tentative="1">
      <w:start w:val="1"/>
      <w:numFmt w:val="ideographTraditional"/>
      <w:lvlText w:val="%8、"/>
      <w:lvlJc w:val="left"/>
      <w:pPr>
        <w:ind w:left="3858" w:hanging="480"/>
      </w:pPr>
    </w:lvl>
    <w:lvl w:ilvl="8" w:tplc="0409001B" w:tentative="1">
      <w:start w:val="1"/>
      <w:numFmt w:val="lowerRoman"/>
      <w:lvlText w:val="%9."/>
      <w:lvlJc w:val="right"/>
      <w:pPr>
        <w:ind w:left="4338" w:hanging="480"/>
      </w:pPr>
    </w:lvl>
  </w:abstractNum>
  <w:abstractNum w:abstractNumId="12" w15:restartNumberingAfterBreak="0">
    <w:nsid w:val="25987C93"/>
    <w:multiLevelType w:val="hybridMultilevel"/>
    <w:tmpl w:val="D22EA6FC"/>
    <w:lvl w:ilvl="0" w:tplc="42808990">
      <w:start w:val="1"/>
      <w:numFmt w:val="taiwaneseCountingThousand"/>
      <w:lvlText w:val="%1、"/>
      <w:lvlJc w:val="left"/>
      <w:pPr>
        <w:ind w:left="1202" w:hanging="720"/>
      </w:pPr>
      <w:rPr>
        <w:rFonts w:ascii="Arial" w:eastAsia="標楷體" w:hAnsi="Arial"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 w15:restartNumberingAfterBreak="0">
    <w:nsid w:val="26E139BC"/>
    <w:multiLevelType w:val="hybridMultilevel"/>
    <w:tmpl w:val="73E22174"/>
    <w:lvl w:ilvl="0" w:tplc="F49EFF6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2B210F"/>
    <w:multiLevelType w:val="hybridMultilevel"/>
    <w:tmpl w:val="ACFA64CE"/>
    <w:lvl w:ilvl="0" w:tplc="E6B442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9810362"/>
    <w:multiLevelType w:val="hybridMultilevel"/>
    <w:tmpl w:val="872C4B54"/>
    <w:lvl w:ilvl="0" w:tplc="5E50956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CCD5DE4"/>
    <w:multiLevelType w:val="hybridMultilevel"/>
    <w:tmpl w:val="E124BF44"/>
    <w:lvl w:ilvl="0" w:tplc="2F182CC4">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223301C"/>
    <w:multiLevelType w:val="hybridMultilevel"/>
    <w:tmpl w:val="49ACA834"/>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4C36A31"/>
    <w:multiLevelType w:val="hybridMultilevel"/>
    <w:tmpl w:val="872C4B54"/>
    <w:lvl w:ilvl="0" w:tplc="5E50956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5A23794"/>
    <w:multiLevelType w:val="hybridMultilevel"/>
    <w:tmpl w:val="F0406252"/>
    <w:lvl w:ilvl="0" w:tplc="941219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214E95"/>
    <w:multiLevelType w:val="hybridMultilevel"/>
    <w:tmpl w:val="70D665FC"/>
    <w:lvl w:ilvl="0" w:tplc="5E50956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AEC35FC"/>
    <w:multiLevelType w:val="hybridMultilevel"/>
    <w:tmpl w:val="5FC22968"/>
    <w:lvl w:ilvl="0" w:tplc="41C8E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752438"/>
    <w:multiLevelType w:val="hybridMultilevel"/>
    <w:tmpl w:val="21180680"/>
    <w:lvl w:ilvl="0" w:tplc="81AAD6EE">
      <w:start w:val="1"/>
      <w:numFmt w:val="taiwaneseCountingThousand"/>
      <w:lvlText w:val="%1、"/>
      <w:lvlJc w:val="left"/>
      <w:pPr>
        <w:ind w:left="1200" w:hanging="720"/>
      </w:pPr>
      <w:rPr>
        <w:rFonts w:ascii="Arial" w:eastAsia="標楷體" w:hAnsi="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C877ED"/>
    <w:multiLevelType w:val="hybridMultilevel"/>
    <w:tmpl w:val="31C0E536"/>
    <w:lvl w:ilvl="0" w:tplc="27EC16D6">
      <w:start w:val="1"/>
      <w:numFmt w:val="taiwaneseCountingThousand"/>
      <w:lvlText w:val="%1、"/>
      <w:lvlJc w:val="left"/>
      <w:pPr>
        <w:ind w:left="960" w:hanging="480"/>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F41677F"/>
    <w:multiLevelType w:val="hybridMultilevel"/>
    <w:tmpl w:val="8FDEE54E"/>
    <w:lvl w:ilvl="0" w:tplc="B5A27F8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25" w15:restartNumberingAfterBreak="0">
    <w:nsid w:val="429217A0"/>
    <w:multiLevelType w:val="hybridMultilevel"/>
    <w:tmpl w:val="10280C04"/>
    <w:lvl w:ilvl="0" w:tplc="899A49C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6" w15:restartNumberingAfterBreak="0">
    <w:nsid w:val="43CC18B7"/>
    <w:multiLevelType w:val="hybridMultilevel"/>
    <w:tmpl w:val="A54AB5A6"/>
    <w:lvl w:ilvl="0" w:tplc="41C8E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9F3033"/>
    <w:multiLevelType w:val="hybridMultilevel"/>
    <w:tmpl w:val="92506906"/>
    <w:lvl w:ilvl="0" w:tplc="21ECA836">
      <w:start w:val="1"/>
      <w:numFmt w:val="taiwaneseCountingThousand"/>
      <w:lvlText w:val="(%1)"/>
      <w:lvlJc w:val="left"/>
      <w:pPr>
        <w:ind w:left="1562" w:hanging="60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8" w15:restartNumberingAfterBreak="0">
    <w:nsid w:val="45E0536D"/>
    <w:multiLevelType w:val="hybridMultilevel"/>
    <w:tmpl w:val="08BA1728"/>
    <w:lvl w:ilvl="0" w:tplc="57DADC74">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9" w15:restartNumberingAfterBreak="0">
    <w:nsid w:val="4D904F12"/>
    <w:multiLevelType w:val="multilevel"/>
    <w:tmpl w:val="3590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542DAF"/>
    <w:multiLevelType w:val="hybridMultilevel"/>
    <w:tmpl w:val="A54AB5A6"/>
    <w:lvl w:ilvl="0" w:tplc="41C8E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BA28D2"/>
    <w:multiLevelType w:val="hybridMultilevel"/>
    <w:tmpl w:val="175ECBDE"/>
    <w:lvl w:ilvl="0" w:tplc="3C3E96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32" w15:restartNumberingAfterBreak="0">
    <w:nsid w:val="56071F14"/>
    <w:multiLevelType w:val="hybridMultilevel"/>
    <w:tmpl w:val="92506906"/>
    <w:lvl w:ilvl="0" w:tplc="21ECA836">
      <w:start w:val="1"/>
      <w:numFmt w:val="taiwaneseCountingThousand"/>
      <w:lvlText w:val="(%1)"/>
      <w:lvlJc w:val="left"/>
      <w:pPr>
        <w:ind w:left="1562" w:hanging="60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3" w15:restartNumberingAfterBreak="0">
    <w:nsid w:val="560D679D"/>
    <w:multiLevelType w:val="hybridMultilevel"/>
    <w:tmpl w:val="DB46A304"/>
    <w:lvl w:ilvl="0" w:tplc="3C026B18">
      <w:start w:val="1"/>
      <w:numFmt w:val="upperRoman"/>
      <w:lvlText w:val="%1."/>
      <w:lvlJc w:val="left"/>
      <w:pPr>
        <w:ind w:left="1562" w:hanging="600"/>
      </w:pPr>
      <w:rPr>
        <w:rFonts w:ascii="Times New Roman" w:eastAsiaTheme="minorEastAsia"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4" w15:restartNumberingAfterBreak="0">
    <w:nsid w:val="5910749F"/>
    <w:multiLevelType w:val="hybridMultilevel"/>
    <w:tmpl w:val="8FDEE54E"/>
    <w:lvl w:ilvl="0" w:tplc="B5A27F8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35" w15:restartNumberingAfterBreak="0">
    <w:nsid w:val="5960046B"/>
    <w:multiLevelType w:val="hybridMultilevel"/>
    <w:tmpl w:val="5D68F9DE"/>
    <w:lvl w:ilvl="0" w:tplc="5E509566">
      <w:start w:val="1"/>
      <w:numFmt w:val="taiwaneseCountingThousand"/>
      <w:lvlText w:val="%1、"/>
      <w:lvlJc w:val="left"/>
      <w:pPr>
        <w:ind w:left="1134" w:hanging="715"/>
      </w:pPr>
      <w:rPr>
        <w:rFonts w:hint="eastAsia"/>
        <w:lang w:val="en-US"/>
      </w:rPr>
    </w:lvl>
    <w:lvl w:ilvl="1" w:tplc="8F0C6B20">
      <w:start w:val="1"/>
      <w:numFmt w:val="taiwaneseCountingThousand"/>
      <w:lvlText w:val="（%2）"/>
      <w:lvlJc w:val="center"/>
      <w:pPr>
        <w:ind w:left="1928" w:hanging="454"/>
      </w:pPr>
      <w:rPr>
        <w:rFonts w:hint="default"/>
        <w:lang w:val="en-US"/>
      </w:rPr>
    </w:lvl>
    <w:lvl w:ilvl="2" w:tplc="0409001B">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36" w15:restartNumberingAfterBreak="0">
    <w:nsid w:val="5B307780"/>
    <w:multiLevelType w:val="hybridMultilevel"/>
    <w:tmpl w:val="36443A60"/>
    <w:lvl w:ilvl="0" w:tplc="FB8852E2">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B9D6599"/>
    <w:multiLevelType w:val="hybridMultilevel"/>
    <w:tmpl w:val="49ACA8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E634EB5"/>
    <w:multiLevelType w:val="hybridMultilevel"/>
    <w:tmpl w:val="0F78F57C"/>
    <w:lvl w:ilvl="0" w:tplc="AF20066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9" w15:restartNumberingAfterBreak="0">
    <w:nsid w:val="5F5E7278"/>
    <w:multiLevelType w:val="hybridMultilevel"/>
    <w:tmpl w:val="ADDC6584"/>
    <w:lvl w:ilvl="0" w:tplc="941219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78" w:hanging="480"/>
      </w:pPr>
    </w:lvl>
    <w:lvl w:ilvl="2" w:tplc="0409001B" w:tentative="1">
      <w:start w:val="1"/>
      <w:numFmt w:val="lowerRoman"/>
      <w:lvlText w:val="%3."/>
      <w:lvlJc w:val="right"/>
      <w:pPr>
        <w:ind w:left="1458" w:hanging="480"/>
      </w:pPr>
    </w:lvl>
    <w:lvl w:ilvl="3" w:tplc="0409000F" w:tentative="1">
      <w:start w:val="1"/>
      <w:numFmt w:val="decimal"/>
      <w:lvlText w:val="%4."/>
      <w:lvlJc w:val="left"/>
      <w:pPr>
        <w:ind w:left="1938" w:hanging="480"/>
      </w:pPr>
    </w:lvl>
    <w:lvl w:ilvl="4" w:tplc="04090019" w:tentative="1">
      <w:start w:val="1"/>
      <w:numFmt w:val="ideographTraditional"/>
      <w:lvlText w:val="%5、"/>
      <w:lvlJc w:val="left"/>
      <w:pPr>
        <w:ind w:left="2418" w:hanging="480"/>
      </w:pPr>
    </w:lvl>
    <w:lvl w:ilvl="5" w:tplc="0409001B" w:tentative="1">
      <w:start w:val="1"/>
      <w:numFmt w:val="lowerRoman"/>
      <w:lvlText w:val="%6."/>
      <w:lvlJc w:val="right"/>
      <w:pPr>
        <w:ind w:left="2898" w:hanging="480"/>
      </w:pPr>
    </w:lvl>
    <w:lvl w:ilvl="6" w:tplc="0409000F" w:tentative="1">
      <w:start w:val="1"/>
      <w:numFmt w:val="decimal"/>
      <w:lvlText w:val="%7."/>
      <w:lvlJc w:val="left"/>
      <w:pPr>
        <w:ind w:left="3378" w:hanging="480"/>
      </w:pPr>
    </w:lvl>
    <w:lvl w:ilvl="7" w:tplc="04090019" w:tentative="1">
      <w:start w:val="1"/>
      <w:numFmt w:val="ideographTraditional"/>
      <w:lvlText w:val="%8、"/>
      <w:lvlJc w:val="left"/>
      <w:pPr>
        <w:ind w:left="3858" w:hanging="480"/>
      </w:pPr>
    </w:lvl>
    <w:lvl w:ilvl="8" w:tplc="0409001B" w:tentative="1">
      <w:start w:val="1"/>
      <w:numFmt w:val="lowerRoman"/>
      <w:lvlText w:val="%9."/>
      <w:lvlJc w:val="right"/>
      <w:pPr>
        <w:ind w:left="4338" w:hanging="480"/>
      </w:pPr>
    </w:lvl>
  </w:abstractNum>
  <w:abstractNum w:abstractNumId="40" w15:restartNumberingAfterBreak="0">
    <w:nsid w:val="61A30747"/>
    <w:multiLevelType w:val="hybridMultilevel"/>
    <w:tmpl w:val="4600D640"/>
    <w:lvl w:ilvl="0" w:tplc="DC74C77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29D7390"/>
    <w:multiLevelType w:val="hybridMultilevel"/>
    <w:tmpl w:val="044413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2E006FD"/>
    <w:multiLevelType w:val="hybridMultilevel"/>
    <w:tmpl w:val="0A7E08AA"/>
    <w:lvl w:ilvl="0" w:tplc="E4BE071E">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48638EC"/>
    <w:multiLevelType w:val="hybridMultilevel"/>
    <w:tmpl w:val="1ECE2312"/>
    <w:lvl w:ilvl="0" w:tplc="C99E6BA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44" w15:restartNumberingAfterBreak="0">
    <w:nsid w:val="70250DF9"/>
    <w:multiLevelType w:val="hybridMultilevel"/>
    <w:tmpl w:val="AA2CDE7E"/>
    <w:lvl w:ilvl="0" w:tplc="136C7A52">
      <w:start w:val="1"/>
      <w:numFmt w:val="taiwaneseCountingThousand"/>
      <w:lvlText w:val="%1、"/>
      <w:lvlJc w:val="left"/>
      <w:pPr>
        <w:ind w:left="1562" w:hanging="600"/>
      </w:pPr>
      <w:rPr>
        <w:rFonts w:ascii="標楷體" w:eastAsia="標楷體" w:hAnsi="標楷體"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45" w15:restartNumberingAfterBreak="0">
    <w:nsid w:val="745B19C8"/>
    <w:multiLevelType w:val="hybridMultilevel"/>
    <w:tmpl w:val="A54AB5A6"/>
    <w:lvl w:ilvl="0" w:tplc="41C8E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4F22BD7"/>
    <w:multiLevelType w:val="hybridMultilevel"/>
    <w:tmpl w:val="44CCAC5C"/>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7" w15:restartNumberingAfterBreak="0">
    <w:nsid w:val="7673761B"/>
    <w:multiLevelType w:val="hybridMultilevel"/>
    <w:tmpl w:val="70D665FC"/>
    <w:lvl w:ilvl="0" w:tplc="5E50956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5"/>
  </w:num>
  <w:num w:numId="2">
    <w:abstractNumId w:val="4"/>
  </w:num>
  <w:num w:numId="3">
    <w:abstractNumId w:val="6"/>
  </w:num>
  <w:num w:numId="4">
    <w:abstractNumId w:val="25"/>
  </w:num>
  <w:num w:numId="5">
    <w:abstractNumId w:val="8"/>
  </w:num>
  <w:num w:numId="6">
    <w:abstractNumId w:val="43"/>
  </w:num>
  <w:num w:numId="7">
    <w:abstractNumId w:val="24"/>
  </w:num>
  <w:num w:numId="8">
    <w:abstractNumId w:val="31"/>
  </w:num>
  <w:num w:numId="9">
    <w:abstractNumId w:val="38"/>
  </w:num>
  <w:num w:numId="10">
    <w:abstractNumId w:val="34"/>
  </w:num>
  <w:num w:numId="11">
    <w:abstractNumId w:val="39"/>
  </w:num>
  <w:num w:numId="12">
    <w:abstractNumId w:val="11"/>
  </w:num>
  <w:num w:numId="13">
    <w:abstractNumId w:val="19"/>
  </w:num>
  <w:num w:numId="14">
    <w:abstractNumId w:val="5"/>
  </w:num>
  <w:num w:numId="15">
    <w:abstractNumId w:val="3"/>
  </w:num>
  <w:num w:numId="16">
    <w:abstractNumId w:val="46"/>
  </w:num>
  <w:num w:numId="17">
    <w:abstractNumId w:val="28"/>
  </w:num>
  <w:num w:numId="18">
    <w:abstractNumId w:val="0"/>
  </w:num>
  <w:num w:numId="19">
    <w:abstractNumId w:val="29"/>
  </w:num>
  <w:num w:numId="20">
    <w:abstractNumId w:val="21"/>
  </w:num>
  <w:num w:numId="21">
    <w:abstractNumId w:val="14"/>
  </w:num>
  <w:num w:numId="22">
    <w:abstractNumId w:val="36"/>
  </w:num>
  <w:num w:numId="23">
    <w:abstractNumId w:val="30"/>
  </w:num>
  <w:num w:numId="24">
    <w:abstractNumId w:val="42"/>
  </w:num>
  <w:num w:numId="25">
    <w:abstractNumId w:val="40"/>
  </w:num>
  <w:num w:numId="26">
    <w:abstractNumId w:val="12"/>
  </w:num>
  <w:num w:numId="27">
    <w:abstractNumId w:val="47"/>
  </w:num>
  <w:num w:numId="28">
    <w:abstractNumId w:val="27"/>
  </w:num>
  <w:num w:numId="29">
    <w:abstractNumId w:val="1"/>
  </w:num>
  <w:num w:numId="30">
    <w:abstractNumId w:val="26"/>
  </w:num>
  <w:num w:numId="31">
    <w:abstractNumId w:val="32"/>
  </w:num>
  <w:num w:numId="32">
    <w:abstractNumId w:val="18"/>
  </w:num>
  <w:num w:numId="33">
    <w:abstractNumId w:val="20"/>
  </w:num>
  <w:num w:numId="34">
    <w:abstractNumId w:val="10"/>
  </w:num>
  <w:num w:numId="35">
    <w:abstractNumId w:val="45"/>
  </w:num>
  <w:num w:numId="36">
    <w:abstractNumId w:val="15"/>
  </w:num>
  <w:num w:numId="37">
    <w:abstractNumId w:val="16"/>
  </w:num>
  <w:num w:numId="38">
    <w:abstractNumId w:val="37"/>
  </w:num>
  <w:num w:numId="39">
    <w:abstractNumId w:val="17"/>
  </w:num>
  <w:num w:numId="40">
    <w:abstractNumId w:val="2"/>
  </w:num>
  <w:num w:numId="41">
    <w:abstractNumId w:val="23"/>
  </w:num>
  <w:num w:numId="42">
    <w:abstractNumId w:val="44"/>
  </w:num>
  <w:num w:numId="43">
    <w:abstractNumId w:val="41"/>
  </w:num>
  <w:num w:numId="44">
    <w:abstractNumId w:val="22"/>
  </w:num>
  <w:num w:numId="45">
    <w:abstractNumId w:val="7"/>
  </w:num>
  <w:num w:numId="46">
    <w:abstractNumId w:val="33"/>
  </w:num>
  <w:num w:numId="47">
    <w:abstractNumId w:val="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7B"/>
    <w:rsid w:val="00002C7F"/>
    <w:rsid w:val="00005A3D"/>
    <w:rsid w:val="000063E2"/>
    <w:rsid w:val="00013B33"/>
    <w:rsid w:val="00016DDD"/>
    <w:rsid w:val="00025F11"/>
    <w:rsid w:val="00026EAE"/>
    <w:rsid w:val="00032971"/>
    <w:rsid w:val="000333AC"/>
    <w:rsid w:val="000429DC"/>
    <w:rsid w:val="000431AA"/>
    <w:rsid w:val="00045415"/>
    <w:rsid w:val="00050CB5"/>
    <w:rsid w:val="0005330A"/>
    <w:rsid w:val="000554F3"/>
    <w:rsid w:val="00055A58"/>
    <w:rsid w:val="00055F7A"/>
    <w:rsid w:val="00057C0F"/>
    <w:rsid w:val="00084C9F"/>
    <w:rsid w:val="0008555C"/>
    <w:rsid w:val="00097961"/>
    <w:rsid w:val="000A3C51"/>
    <w:rsid w:val="000B2F77"/>
    <w:rsid w:val="000B7DFA"/>
    <w:rsid w:val="000D2613"/>
    <w:rsid w:val="000E27C2"/>
    <w:rsid w:val="000E32B8"/>
    <w:rsid w:val="000F55A2"/>
    <w:rsid w:val="00101994"/>
    <w:rsid w:val="001108FB"/>
    <w:rsid w:val="001142F3"/>
    <w:rsid w:val="00114702"/>
    <w:rsid w:val="001207F0"/>
    <w:rsid w:val="001235F5"/>
    <w:rsid w:val="00130A09"/>
    <w:rsid w:val="001336B1"/>
    <w:rsid w:val="00136492"/>
    <w:rsid w:val="00147E96"/>
    <w:rsid w:val="00161C5E"/>
    <w:rsid w:val="001632EE"/>
    <w:rsid w:val="0016339B"/>
    <w:rsid w:val="001723D9"/>
    <w:rsid w:val="00180216"/>
    <w:rsid w:val="00180980"/>
    <w:rsid w:val="00182ECB"/>
    <w:rsid w:val="001901BB"/>
    <w:rsid w:val="0019532E"/>
    <w:rsid w:val="0019537F"/>
    <w:rsid w:val="001A133D"/>
    <w:rsid w:val="001A53E3"/>
    <w:rsid w:val="001B0505"/>
    <w:rsid w:val="001B1B7A"/>
    <w:rsid w:val="001B6B3A"/>
    <w:rsid w:val="001D12A8"/>
    <w:rsid w:val="001D1D31"/>
    <w:rsid w:val="001D24B6"/>
    <w:rsid w:val="001D4549"/>
    <w:rsid w:val="001D50CA"/>
    <w:rsid w:val="001E2747"/>
    <w:rsid w:val="001F5007"/>
    <w:rsid w:val="001F7B9D"/>
    <w:rsid w:val="002075C4"/>
    <w:rsid w:val="0020773C"/>
    <w:rsid w:val="00216E8D"/>
    <w:rsid w:val="00223E7F"/>
    <w:rsid w:val="0022442F"/>
    <w:rsid w:val="0023574F"/>
    <w:rsid w:val="00244A68"/>
    <w:rsid w:val="00252650"/>
    <w:rsid w:val="00265CA0"/>
    <w:rsid w:val="0027045F"/>
    <w:rsid w:val="00281349"/>
    <w:rsid w:val="00286407"/>
    <w:rsid w:val="00291451"/>
    <w:rsid w:val="0029428F"/>
    <w:rsid w:val="002A4D2C"/>
    <w:rsid w:val="002A6E1C"/>
    <w:rsid w:val="002B5CE8"/>
    <w:rsid w:val="002D0034"/>
    <w:rsid w:val="002D29D8"/>
    <w:rsid w:val="002D75B8"/>
    <w:rsid w:val="003001AA"/>
    <w:rsid w:val="00301D18"/>
    <w:rsid w:val="003065A4"/>
    <w:rsid w:val="003073EC"/>
    <w:rsid w:val="00323FC0"/>
    <w:rsid w:val="00324475"/>
    <w:rsid w:val="0032739C"/>
    <w:rsid w:val="00344CAF"/>
    <w:rsid w:val="003465B3"/>
    <w:rsid w:val="00347890"/>
    <w:rsid w:val="003524C7"/>
    <w:rsid w:val="0036223C"/>
    <w:rsid w:val="00364970"/>
    <w:rsid w:val="00366406"/>
    <w:rsid w:val="00373934"/>
    <w:rsid w:val="0037663C"/>
    <w:rsid w:val="00376C82"/>
    <w:rsid w:val="003829DE"/>
    <w:rsid w:val="003A57A0"/>
    <w:rsid w:val="003B1C86"/>
    <w:rsid w:val="003D1FAE"/>
    <w:rsid w:val="003D683E"/>
    <w:rsid w:val="003F3D8E"/>
    <w:rsid w:val="0040237C"/>
    <w:rsid w:val="004138ED"/>
    <w:rsid w:val="00420A65"/>
    <w:rsid w:val="0043038D"/>
    <w:rsid w:val="00437694"/>
    <w:rsid w:val="00446D48"/>
    <w:rsid w:val="00455C3B"/>
    <w:rsid w:val="0046679D"/>
    <w:rsid w:val="00467CF3"/>
    <w:rsid w:val="00473A2A"/>
    <w:rsid w:val="00481950"/>
    <w:rsid w:val="00485D47"/>
    <w:rsid w:val="0048756B"/>
    <w:rsid w:val="00491282"/>
    <w:rsid w:val="004979B3"/>
    <w:rsid w:val="004A7D98"/>
    <w:rsid w:val="004B07B3"/>
    <w:rsid w:val="004B1C20"/>
    <w:rsid w:val="004B4384"/>
    <w:rsid w:val="004B531F"/>
    <w:rsid w:val="004B598D"/>
    <w:rsid w:val="004C14E5"/>
    <w:rsid w:val="004C3CA0"/>
    <w:rsid w:val="004C5765"/>
    <w:rsid w:val="004D0164"/>
    <w:rsid w:val="004E6088"/>
    <w:rsid w:val="005103F4"/>
    <w:rsid w:val="00515EAF"/>
    <w:rsid w:val="00520779"/>
    <w:rsid w:val="00521E6C"/>
    <w:rsid w:val="00522CBB"/>
    <w:rsid w:val="005337C3"/>
    <w:rsid w:val="005569B1"/>
    <w:rsid w:val="0056116C"/>
    <w:rsid w:val="0057489C"/>
    <w:rsid w:val="00575D94"/>
    <w:rsid w:val="00580F2B"/>
    <w:rsid w:val="00582E35"/>
    <w:rsid w:val="00586221"/>
    <w:rsid w:val="00593252"/>
    <w:rsid w:val="005A02F6"/>
    <w:rsid w:val="005A4535"/>
    <w:rsid w:val="005C1C50"/>
    <w:rsid w:val="005C422E"/>
    <w:rsid w:val="005C660D"/>
    <w:rsid w:val="005D1140"/>
    <w:rsid w:val="005D1ECC"/>
    <w:rsid w:val="005D383F"/>
    <w:rsid w:val="005D71D4"/>
    <w:rsid w:val="005E0736"/>
    <w:rsid w:val="005E29A4"/>
    <w:rsid w:val="005E4FF0"/>
    <w:rsid w:val="005E6E51"/>
    <w:rsid w:val="005F0759"/>
    <w:rsid w:val="0060061A"/>
    <w:rsid w:val="00606765"/>
    <w:rsid w:val="00614C81"/>
    <w:rsid w:val="0062028D"/>
    <w:rsid w:val="00622ED1"/>
    <w:rsid w:val="006252F0"/>
    <w:rsid w:val="006326ED"/>
    <w:rsid w:val="0064107D"/>
    <w:rsid w:val="0064761E"/>
    <w:rsid w:val="00650A61"/>
    <w:rsid w:val="0065113E"/>
    <w:rsid w:val="006534F2"/>
    <w:rsid w:val="00657FE3"/>
    <w:rsid w:val="00670332"/>
    <w:rsid w:val="00670547"/>
    <w:rsid w:val="00675FA4"/>
    <w:rsid w:val="00681612"/>
    <w:rsid w:val="006900DC"/>
    <w:rsid w:val="006903ED"/>
    <w:rsid w:val="00694355"/>
    <w:rsid w:val="006A1FFE"/>
    <w:rsid w:val="006B2F05"/>
    <w:rsid w:val="006C7EFA"/>
    <w:rsid w:val="006D009C"/>
    <w:rsid w:val="006D117C"/>
    <w:rsid w:val="006D149B"/>
    <w:rsid w:val="006D2B5D"/>
    <w:rsid w:val="006D387E"/>
    <w:rsid w:val="006E4C6D"/>
    <w:rsid w:val="006E5182"/>
    <w:rsid w:val="00702E00"/>
    <w:rsid w:val="00704B10"/>
    <w:rsid w:val="00713420"/>
    <w:rsid w:val="00715E5E"/>
    <w:rsid w:val="00716B78"/>
    <w:rsid w:val="00720E89"/>
    <w:rsid w:val="00725D44"/>
    <w:rsid w:val="007366B6"/>
    <w:rsid w:val="00737F5B"/>
    <w:rsid w:val="00742348"/>
    <w:rsid w:val="00753CF9"/>
    <w:rsid w:val="007567AA"/>
    <w:rsid w:val="007739DD"/>
    <w:rsid w:val="007817BD"/>
    <w:rsid w:val="00785DDE"/>
    <w:rsid w:val="007870AE"/>
    <w:rsid w:val="00790D30"/>
    <w:rsid w:val="007A4DBA"/>
    <w:rsid w:val="007A5C33"/>
    <w:rsid w:val="007B69D6"/>
    <w:rsid w:val="007B6CD8"/>
    <w:rsid w:val="007B7992"/>
    <w:rsid w:val="007C1BF9"/>
    <w:rsid w:val="007C3F1E"/>
    <w:rsid w:val="007D1446"/>
    <w:rsid w:val="007D5342"/>
    <w:rsid w:val="007E70B4"/>
    <w:rsid w:val="007F0B11"/>
    <w:rsid w:val="007F385C"/>
    <w:rsid w:val="00807D1B"/>
    <w:rsid w:val="008130B9"/>
    <w:rsid w:val="00816580"/>
    <w:rsid w:val="00816A0E"/>
    <w:rsid w:val="008201A8"/>
    <w:rsid w:val="00840D91"/>
    <w:rsid w:val="00843DC4"/>
    <w:rsid w:val="00853ED6"/>
    <w:rsid w:val="00862811"/>
    <w:rsid w:val="00863260"/>
    <w:rsid w:val="008660B3"/>
    <w:rsid w:val="008735CB"/>
    <w:rsid w:val="00875524"/>
    <w:rsid w:val="00875A10"/>
    <w:rsid w:val="00893237"/>
    <w:rsid w:val="008A00AE"/>
    <w:rsid w:val="008A29E8"/>
    <w:rsid w:val="008A3F56"/>
    <w:rsid w:val="008B3B81"/>
    <w:rsid w:val="008C335A"/>
    <w:rsid w:val="008C490C"/>
    <w:rsid w:val="008C4A78"/>
    <w:rsid w:val="008D07CF"/>
    <w:rsid w:val="008D0980"/>
    <w:rsid w:val="008D4084"/>
    <w:rsid w:val="008D5210"/>
    <w:rsid w:val="008E4750"/>
    <w:rsid w:val="008F0279"/>
    <w:rsid w:val="008F3296"/>
    <w:rsid w:val="008F32FD"/>
    <w:rsid w:val="00901585"/>
    <w:rsid w:val="00907DD9"/>
    <w:rsid w:val="00931AD2"/>
    <w:rsid w:val="00936E2A"/>
    <w:rsid w:val="00941FEB"/>
    <w:rsid w:val="00947359"/>
    <w:rsid w:val="00947CF5"/>
    <w:rsid w:val="00952C59"/>
    <w:rsid w:val="009615DC"/>
    <w:rsid w:val="0096730D"/>
    <w:rsid w:val="00967EB7"/>
    <w:rsid w:val="00970031"/>
    <w:rsid w:val="00974CB4"/>
    <w:rsid w:val="009835F2"/>
    <w:rsid w:val="009921C8"/>
    <w:rsid w:val="00996C0D"/>
    <w:rsid w:val="009A64E1"/>
    <w:rsid w:val="009A7835"/>
    <w:rsid w:val="009C29B8"/>
    <w:rsid w:val="009E13B2"/>
    <w:rsid w:val="009E3F5D"/>
    <w:rsid w:val="00A00722"/>
    <w:rsid w:val="00A02522"/>
    <w:rsid w:val="00A04428"/>
    <w:rsid w:val="00A04617"/>
    <w:rsid w:val="00A16CBE"/>
    <w:rsid w:val="00A236E8"/>
    <w:rsid w:val="00A27FB9"/>
    <w:rsid w:val="00A42AE5"/>
    <w:rsid w:val="00A45282"/>
    <w:rsid w:val="00A51702"/>
    <w:rsid w:val="00A57A88"/>
    <w:rsid w:val="00A66CC6"/>
    <w:rsid w:val="00A72B45"/>
    <w:rsid w:val="00A9243F"/>
    <w:rsid w:val="00A94FD5"/>
    <w:rsid w:val="00A959F0"/>
    <w:rsid w:val="00A963B7"/>
    <w:rsid w:val="00AA204E"/>
    <w:rsid w:val="00AB0530"/>
    <w:rsid w:val="00AB3A3D"/>
    <w:rsid w:val="00AB4FEF"/>
    <w:rsid w:val="00AD7E57"/>
    <w:rsid w:val="00AE081D"/>
    <w:rsid w:val="00AE343D"/>
    <w:rsid w:val="00AE34A4"/>
    <w:rsid w:val="00AF1975"/>
    <w:rsid w:val="00AF3F0C"/>
    <w:rsid w:val="00B056A8"/>
    <w:rsid w:val="00B078EB"/>
    <w:rsid w:val="00B07B6F"/>
    <w:rsid w:val="00B139E7"/>
    <w:rsid w:val="00B207B0"/>
    <w:rsid w:val="00B221F1"/>
    <w:rsid w:val="00B2331A"/>
    <w:rsid w:val="00B23CA5"/>
    <w:rsid w:val="00B30E13"/>
    <w:rsid w:val="00B34290"/>
    <w:rsid w:val="00B36950"/>
    <w:rsid w:val="00B439B9"/>
    <w:rsid w:val="00B55D07"/>
    <w:rsid w:val="00B571C1"/>
    <w:rsid w:val="00B5727D"/>
    <w:rsid w:val="00B64975"/>
    <w:rsid w:val="00B77A6A"/>
    <w:rsid w:val="00B808E4"/>
    <w:rsid w:val="00B911AF"/>
    <w:rsid w:val="00B96BB4"/>
    <w:rsid w:val="00B9709F"/>
    <w:rsid w:val="00BA1108"/>
    <w:rsid w:val="00BA5562"/>
    <w:rsid w:val="00BA59B4"/>
    <w:rsid w:val="00BB1783"/>
    <w:rsid w:val="00BB3044"/>
    <w:rsid w:val="00BB5472"/>
    <w:rsid w:val="00BE0114"/>
    <w:rsid w:val="00BE15B6"/>
    <w:rsid w:val="00BF5D3F"/>
    <w:rsid w:val="00BF6FD8"/>
    <w:rsid w:val="00C12283"/>
    <w:rsid w:val="00C1549B"/>
    <w:rsid w:val="00C15EBB"/>
    <w:rsid w:val="00C22BBA"/>
    <w:rsid w:val="00C22BF5"/>
    <w:rsid w:val="00C27910"/>
    <w:rsid w:val="00C32834"/>
    <w:rsid w:val="00C34E7B"/>
    <w:rsid w:val="00C37542"/>
    <w:rsid w:val="00C45739"/>
    <w:rsid w:val="00C503D7"/>
    <w:rsid w:val="00C55514"/>
    <w:rsid w:val="00C55CDC"/>
    <w:rsid w:val="00C57037"/>
    <w:rsid w:val="00C601D2"/>
    <w:rsid w:val="00C62F19"/>
    <w:rsid w:val="00C66DCF"/>
    <w:rsid w:val="00C749BB"/>
    <w:rsid w:val="00C8085D"/>
    <w:rsid w:val="00C93319"/>
    <w:rsid w:val="00C96B64"/>
    <w:rsid w:val="00CA49F6"/>
    <w:rsid w:val="00CB1E16"/>
    <w:rsid w:val="00CB5AE9"/>
    <w:rsid w:val="00CB7973"/>
    <w:rsid w:val="00CC691A"/>
    <w:rsid w:val="00CD08B9"/>
    <w:rsid w:val="00CD252D"/>
    <w:rsid w:val="00CE5646"/>
    <w:rsid w:val="00CE6185"/>
    <w:rsid w:val="00CF0801"/>
    <w:rsid w:val="00CF6A9F"/>
    <w:rsid w:val="00D03ED5"/>
    <w:rsid w:val="00D0655F"/>
    <w:rsid w:val="00D1313D"/>
    <w:rsid w:val="00D13E80"/>
    <w:rsid w:val="00D13ECB"/>
    <w:rsid w:val="00D140F8"/>
    <w:rsid w:val="00D2329F"/>
    <w:rsid w:val="00D366F1"/>
    <w:rsid w:val="00D434D7"/>
    <w:rsid w:val="00D50C0B"/>
    <w:rsid w:val="00D53892"/>
    <w:rsid w:val="00D77AAD"/>
    <w:rsid w:val="00D860F0"/>
    <w:rsid w:val="00D91CB7"/>
    <w:rsid w:val="00D930C2"/>
    <w:rsid w:val="00DA3725"/>
    <w:rsid w:val="00DA4418"/>
    <w:rsid w:val="00DB0ACB"/>
    <w:rsid w:val="00DC30F3"/>
    <w:rsid w:val="00DD1302"/>
    <w:rsid w:val="00DD34FE"/>
    <w:rsid w:val="00DD52FE"/>
    <w:rsid w:val="00DE1CF2"/>
    <w:rsid w:val="00DE23AE"/>
    <w:rsid w:val="00DF2E2E"/>
    <w:rsid w:val="00DF5F2D"/>
    <w:rsid w:val="00E01ED3"/>
    <w:rsid w:val="00E12365"/>
    <w:rsid w:val="00E14B9D"/>
    <w:rsid w:val="00E23C29"/>
    <w:rsid w:val="00E25FA2"/>
    <w:rsid w:val="00E27DFA"/>
    <w:rsid w:val="00E35AAF"/>
    <w:rsid w:val="00E40046"/>
    <w:rsid w:val="00E44E5F"/>
    <w:rsid w:val="00E50C6A"/>
    <w:rsid w:val="00E53237"/>
    <w:rsid w:val="00E62CBE"/>
    <w:rsid w:val="00E66874"/>
    <w:rsid w:val="00E77538"/>
    <w:rsid w:val="00E80152"/>
    <w:rsid w:val="00E83C50"/>
    <w:rsid w:val="00E951E0"/>
    <w:rsid w:val="00E96B20"/>
    <w:rsid w:val="00EA5660"/>
    <w:rsid w:val="00EB01A7"/>
    <w:rsid w:val="00EC062A"/>
    <w:rsid w:val="00EC0824"/>
    <w:rsid w:val="00EC40F4"/>
    <w:rsid w:val="00ED10D9"/>
    <w:rsid w:val="00ED4374"/>
    <w:rsid w:val="00ED6657"/>
    <w:rsid w:val="00EE3ABD"/>
    <w:rsid w:val="00EF23AC"/>
    <w:rsid w:val="00F05605"/>
    <w:rsid w:val="00F11175"/>
    <w:rsid w:val="00F209A6"/>
    <w:rsid w:val="00F24645"/>
    <w:rsid w:val="00F404ED"/>
    <w:rsid w:val="00F44B55"/>
    <w:rsid w:val="00F463BF"/>
    <w:rsid w:val="00F472BE"/>
    <w:rsid w:val="00F47BE5"/>
    <w:rsid w:val="00F561AA"/>
    <w:rsid w:val="00F639B8"/>
    <w:rsid w:val="00F6521C"/>
    <w:rsid w:val="00F65CD1"/>
    <w:rsid w:val="00F661B1"/>
    <w:rsid w:val="00F67D5C"/>
    <w:rsid w:val="00F86DE7"/>
    <w:rsid w:val="00F9532C"/>
    <w:rsid w:val="00FA0D78"/>
    <w:rsid w:val="00FA1815"/>
    <w:rsid w:val="00FA61D2"/>
    <w:rsid w:val="00FA6841"/>
    <w:rsid w:val="00FB395F"/>
    <w:rsid w:val="00FB399E"/>
    <w:rsid w:val="00FB71EA"/>
    <w:rsid w:val="00FC09BA"/>
    <w:rsid w:val="00FC6774"/>
    <w:rsid w:val="00FD46F2"/>
    <w:rsid w:val="00FD4B37"/>
    <w:rsid w:val="00FD732A"/>
    <w:rsid w:val="00FE4165"/>
    <w:rsid w:val="00FE5AE6"/>
    <w:rsid w:val="00FE6ACD"/>
    <w:rsid w:val="00FF1B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E7D36"/>
  <w15:docId w15:val="{55B1BF60-3C21-4046-BD90-033CE8A2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B2331A"/>
    <w:pPr>
      <w:autoSpaceDE w:val="0"/>
      <w:autoSpaceDN w:val="0"/>
      <w:ind w:left="2772" w:right="2993"/>
      <w:jc w:val="center"/>
      <w:outlineLvl w:val="0"/>
    </w:pPr>
    <w:rPr>
      <w:rFonts w:ascii="微軟正黑體" w:eastAsia="微軟正黑體" w:hAnsi="微軟正黑體" w:cs="微軟正黑體"/>
      <w:b/>
      <w:bCs/>
      <w:kern w:val="0"/>
      <w:sz w:val="32"/>
      <w:szCs w:val="32"/>
      <w:lang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4E7B"/>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715E5E"/>
    <w:pPr>
      <w:ind w:leftChars="200" w:left="480"/>
    </w:pPr>
  </w:style>
  <w:style w:type="paragraph" w:styleId="HTML">
    <w:name w:val="HTML Preformatted"/>
    <w:basedOn w:val="a"/>
    <w:link w:val="HTML0"/>
    <w:uiPriority w:val="99"/>
    <w:rsid w:val="002813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281349"/>
    <w:rPr>
      <w:rFonts w:ascii="細明體" w:eastAsia="細明體" w:hAnsi="細明體" w:cs="細明體"/>
      <w:color w:val="333333"/>
      <w:kern w:val="0"/>
      <w:szCs w:val="24"/>
    </w:rPr>
  </w:style>
  <w:style w:type="paragraph" w:customStyle="1" w:styleId="11">
    <w:name w:val="清單段落1"/>
    <w:basedOn w:val="a"/>
    <w:rsid w:val="00281349"/>
    <w:pPr>
      <w:ind w:leftChars="200" w:left="480"/>
    </w:pPr>
    <w:rPr>
      <w:rFonts w:ascii="Times New Roman" w:eastAsia="新細明體" w:hAnsi="Times New Roman" w:cs="Times New Roman"/>
      <w:szCs w:val="24"/>
    </w:rPr>
  </w:style>
  <w:style w:type="character" w:styleId="a4">
    <w:name w:val="Hyperlink"/>
    <w:rsid w:val="00281349"/>
    <w:rPr>
      <w:color w:val="0000FF"/>
      <w:u w:val="single"/>
    </w:rPr>
  </w:style>
  <w:style w:type="paragraph" w:styleId="a5">
    <w:name w:val="No Spacing"/>
    <w:uiPriority w:val="1"/>
    <w:qFormat/>
    <w:rsid w:val="00281349"/>
    <w:pPr>
      <w:widowControl w:val="0"/>
      <w:ind w:firstLineChars="200" w:firstLine="200"/>
      <w:jc w:val="both"/>
    </w:pPr>
    <w:rPr>
      <w:rFonts w:ascii="Calibri" w:eastAsia="標楷體" w:hAnsi="Calibri" w:cs="Times New Roman"/>
    </w:rPr>
  </w:style>
  <w:style w:type="paragraph" w:styleId="a6">
    <w:name w:val="header"/>
    <w:basedOn w:val="a"/>
    <w:link w:val="a7"/>
    <w:uiPriority w:val="99"/>
    <w:unhideWhenUsed/>
    <w:rsid w:val="007C3F1E"/>
    <w:pPr>
      <w:tabs>
        <w:tab w:val="center" w:pos="4153"/>
        <w:tab w:val="right" w:pos="8306"/>
      </w:tabs>
      <w:snapToGrid w:val="0"/>
    </w:pPr>
    <w:rPr>
      <w:sz w:val="20"/>
      <w:szCs w:val="20"/>
    </w:rPr>
  </w:style>
  <w:style w:type="character" w:customStyle="1" w:styleId="a7">
    <w:name w:val="頁首 字元"/>
    <w:basedOn w:val="a0"/>
    <w:link w:val="a6"/>
    <w:uiPriority w:val="99"/>
    <w:rsid w:val="007C3F1E"/>
    <w:rPr>
      <w:sz w:val="20"/>
      <w:szCs w:val="20"/>
    </w:rPr>
  </w:style>
  <w:style w:type="paragraph" w:styleId="a8">
    <w:name w:val="footer"/>
    <w:basedOn w:val="a"/>
    <w:link w:val="a9"/>
    <w:uiPriority w:val="99"/>
    <w:unhideWhenUsed/>
    <w:rsid w:val="007C3F1E"/>
    <w:pPr>
      <w:tabs>
        <w:tab w:val="center" w:pos="4153"/>
        <w:tab w:val="right" w:pos="8306"/>
      </w:tabs>
      <w:snapToGrid w:val="0"/>
    </w:pPr>
    <w:rPr>
      <w:sz w:val="20"/>
      <w:szCs w:val="20"/>
    </w:rPr>
  </w:style>
  <w:style w:type="character" w:customStyle="1" w:styleId="a9">
    <w:name w:val="頁尾 字元"/>
    <w:basedOn w:val="a0"/>
    <w:link w:val="a8"/>
    <w:uiPriority w:val="99"/>
    <w:rsid w:val="007C3F1E"/>
    <w:rPr>
      <w:sz w:val="20"/>
      <w:szCs w:val="20"/>
    </w:rPr>
  </w:style>
  <w:style w:type="table" w:styleId="aa">
    <w:name w:val="Table Grid"/>
    <w:basedOn w:val="a1"/>
    <w:uiPriority w:val="59"/>
    <w:rsid w:val="007C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B2331A"/>
    <w:rPr>
      <w:color w:val="808080"/>
    </w:rPr>
  </w:style>
  <w:style w:type="character" w:customStyle="1" w:styleId="10">
    <w:name w:val="標題 1 字元"/>
    <w:basedOn w:val="a0"/>
    <w:link w:val="1"/>
    <w:uiPriority w:val="9"/>
    <w:rsid w:val="00B2331A"/>
    <w:rPr>
      <w:rFonts w:ascii="微軟正黑體" w:eastAsia="微軟正黑體" w:hAnsi="微軟正黑體" w:cs="微軟正黑體"/>
      <w:b/>
      <w:bCs/>
      <w:kern w:val="0"/>
      <w:sz w:val="32"/>
      <w:szCs w:val="32"/>
      <w:lang w:val="en-US" w:bidi="zh-TW"/>
    </w:rPr>
  </w:style>
  <w:style w:type="paragraph" w:styleId="Web">
    <w:name w:val="Normal (Web)"/>
    <w:basedOn w:val="a"/>
    <w:uiPriority w:val="99"/>
    <w:semiHidden/>
    <w:unhideWhenUsed/>
    <w:rsid w:val="00E83C50"/>
    <w:pPr>
      <w:widowControl/>
      <w:spacing w:before="100" w:beforeAutospacing="1" w:after="100" w:afterAutospacing="1"/>
    </w:pPr>
    <w:rPr>
      <w:rFonts w:ascii="新細明體" w:eastAsia="新細明體" w:hAnsi="新細明體" w:cs="新細明體"/>
      <w:kern w:val="0"/>
      <w:szCs w:val="24"/>
    </w:rPr>
  </w:style>
  <w:style w:type="paragraph" w:styleId="ac">
    <w:name w:val="Balloon Text"/>
    <w:basedOn w:val="a"/>
    <w:link w:val="ad"/>
    <w:uiPriority w:val="99"/>
    <w:semiHidden/>
    <w:unhideWhenUsed/>
    <w:rsid w:val="006903E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903E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E23C29"/>
    <w:rPr>
      <w:sz w:val="18"/>
      <w:szCs w:val="18"/>
    </w:rPr>
  </w:style>
  <w:style w:type="paragraph" w:styleId="af">
    <w:name w:val="annotation text"/>
    <w:basedOn w:val="a"/>
    <w:link w:val="af0"/>
    <w:uiPriority w:val="99"/>
    <w:semiHidden/>
    <w:unhideWhenUsed/>
    <w:rsid w:val="00E23C29"/>
  </w:style>
  <w:style w:type="character" w:customStyle="1" w:styleId="af0">
    <w:name w:val="註解文字 字元"/>
    <w:basedOn w:val="a0"/>
    <w:link w:val="af"/>
    <w:uiPriority w:val="99"/>
    <w:semiHidden/>
    <w:rsid w:val="00E23C29"/>
  </w:style>
  <w:style w:type="paragraph" w:styleId="af1">
    <w:name w:val="annotation subject"/>
    <w:basedOn w:val="af"/>
    <w:next w:val="af"/>
    <w:link w:val="af2"/>
    <w:uiPriority w:val="99"/>
    <w:semiHidden/>
    <w:unhideWhenUsed/>
    <w:rsid w:val="00E23C29"/>
    <w:rPr>
      <w:b/>
      <w:bCs/>
    </w:rPr>
  </w:style>
  <w:style w:type="character" w:customStyle="1" w:styleId="af2">
    <w:name w:val="註解主旨 字元"/>
    <w:basedOn w:val="af0"/>
    <w:link w:val="af1"/>
    <w:uiPriority w:val="99"/>
    <w:semiHidden/>
    <w:rsid w:val="00E23C29"/>
    <w:rPr>
      <w:b/>
      <w:bCs/>
    </w:rPr>
  </w:style>
  <w:style w:type="paragraph" w:styleId="af3">
    <w:name w:val="Plain Text"/>
    <w:basedOn w:val="a"/>
    <w:link w:val="af4"/>
    <w:uiPriority w:val="99"/>
    <w:unhideWhenUsed/>
    <w:rsid w:val="000E27C2"/>
    <w:rPr>
      <w:rFonts w:ascii="Calibri" w:eastAsia="新細明體" w:hAnsi="Courier New" w:cs="Courier New"/>
    </w:rPr>
  </w:style>
  <w:style w:type="character" w:customStyle="1" w:styleId="af4">
    <w:name w:val="純文字 字元"/>
    <w:basedOn w:val="a0"/>
    <w:link w:val="af3"/>
    <w:uiPriority w:val="99"/>
    <w:rsid w:val="000E27C2"/>
    <w:rPr>
      <w:rFonts w:ascii="Calibri" w:eastAsia="新細明體" w:hAnsi="Courier New" w:cs="Courier New"/>
    </w:rPr>
  </w:style>
  <w:style w:type="paragraph" w:styleId="af5">
    <w:name w:val="Body Text"/>
    <w:basedOn w:val="a"/>
    <w:link w:val="af6"/>
    <w:uiPriority w:val="1"/>
    <w:qFormat/>
    <w:rsid w:val="005A02F6"/>
    <w:pPr>
      <w:autoSpaceDE w:val="0"/>
      <w:autoSpaceDN w:val="0"/>
      <w:spacing w:before="25"/>
      <w:ind w:left="946"/>
    </w:pPr>
    <w:rPr>
      <w:rFonts w:ascii="標楷體" w:eastAsia="標楷體" w:hAnsi="標楷體" w:cs="標楷體"/>
      <w:kern w:val="0"/>
      <w:szCs w:val="24"/>
      <w:lang w:bidi="zh-TW"/>
    </w:rPr>
  </w:style>
  <w:style w:type="character" w:customStyle="1" w:styleId="af6">
    <w:name w:val="本文 字元"/>
    <w:basedOn w:val="a0"/>
    <w:link w:val="af5"/>
    <w:uiPriority w:val="1"/>
    <w:rsid w:val="005A02F6"/>
    <w:rPr>
      <w:rFonts w:ascii="標楷體" w:eastAsia="標楷體" w:hAnsi="標楷體" w:cs="標楷體"/>
      <w:kern w:val="0"/>
      <w:szCs w:val="24"/>
      <w:lang w:val="en-US" w:bidi="zh-TW"/>
    </w:rPr>
  </w:style>
  <w:style w:type="character" w:styleId="af7">
    <w:name w:val="Unresolved Mention"/>
    <w:basedOn w:val="a0"/>
    <w:uiPriority w:val="99"/>
    <w:semiHidden/>
    <w:unhideWhenUsed/>
    <w:rsid w:val="00BA5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89544">
      <w:bodyDiv w:val="1"/>
      <w:marLeft w:val="0"/>
      <w:marRight w:val="0"/>
      <w:marTop w:val="0"/>
      <w:marBottom w:val="0"/>
      <w:divBdr>
        <w:top w:val="none" w:sz="0" w:space="0" w:color="auto"/>
        <w:left w:val="none" w:sz="0" w:space="0" w:color="auto"/>
        <w:bottom w:val="none" w:sz="0" w:space="0" w:color="auto"/>
        <w:right w:val="none" w:sz="0" w:space="0" w:color="auto"/>
      </w:divBdr>
      <w:divsChild>
        <w:div w:id="167259644">
          <w:marLeft w:val="0"/>
          <w:marRight w:val="0"/>
          <w:marTop w:val="0"/>
          <w:marBottom w:val="0"/>
          <w:divBdr>
            <w:top w:val="none" w:sz="0" w:space="0" w:color="auto"/>
            <w:left w:val="none" w:sz="0" w:space="0" w:color="auto"/>
            <w:bottom w:val="none" w:sz="0" w:space="0" w:color="auto"/>
            <w:right w:val="none" w:sz="0" w:space="0" w:color="auto"/>
          </w:divBdr>
          <w:divsChild>
            <w:div w:id="18556180">
              <w:marLeft w:val="0"/>
              <w:marRight w:val="0"/>
              <w:marTop w:val="0"/>
              <w:marBottom w:val="0"/>
              <w:divBdr>
                <w:top w:val="none" w:sz="0" w:space="0" w:color="auto"/>
                <w:left w:val="none" w:sz="0" w:space="0" w:color="auto"/>
                <w:bottom w:val="none" w:sz="0" w:space="0" w:color="auto"/>
                <w:right w:val="none" w:sz="0" w:space="0" w:color="auto"/>
              </w:divBdr>
              <w:divsChild>
                <w:div w:id="794373050">
                  <w:marLeft w:val="0"/>
                  <w:marRight w:val="0"/>
                  <w:marTop w:val="0"/>
                  <w:marBottom w:val="0"/>
                  <w:divBdr>
                    <w:top w:val="none" w:sz="0" w:space="0" w:color="auto"/>
                    <w:left w:val="none" w:sz="0" w:space="0" w:color="auto"/>
                    <w:bottom w:val="none" w:sz="0" w:space="0" w:color="auto"/>
                    <w:right w:val="none" w:sz="0" w:space="0" w:color="auto"/>
                  </w:divBdr>
                  <w:divsChild>
                    <w:div w:id="12259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66009">
      <w:bodyDiv w:val="1"/>
      <w:marLeft w:val="0"/>
      <w:marRight w:val="0"/>
      <w:marTop w:val="0"/>
      <w:marBottom w:val="0"/>
      <w:divBdr>
        <w:top w:val="none" w:sz="0" w:space="0" w:color="auto"/>
        <w:left w:val="none" w:sz="0" w:space="0" w:color="auto"/>
        <w:bottom w:val="none" w:sz="0" w:space="0" w:color="auto"/>
        <w:right w:val="none" w:sz="0" w:space="0" w:color="auto"/>
      </w:divBdr>
    </w:div>
    <w:div w:id="1662811773">
      <w:bodyDiv w:val="1"/>
      <w:marLeft w:val="0"/>
      <w:marRight w:val="0"/>
      <w:marTop w:val="0"/>
      <w:marBottom w:val="0"/>
      <w:divBdr>
        <w:top w:val="none" w:sz="0" w:space="0" w:color="auto"/>
        <w:left w:val="none" w:sz="0" w:space="0" w:color="auto"/>
        <w:bottom w:val="none" w:sz="0" w:space="0" w:color="auto"/>
        <w:right w:val="none" w:sz="0" w:space="0" w:color="auto"/>
      </w:divBdr>
    </w:div>
    <w:div w:id="2082561231">
      <w:bodyDiv w:val="1"/>
      <w:marLeft w:val="0"/>
      <w:marRight w:val="0"/>
      <w:marTop w:val="0"/>
      <w:marBottom w:val="0"/>
      <w:divBdr>
        <w:top w:val="none" w:sz="0" w:space="0" w:color="auto"/>
        <w:left w:val="none" w:sz="0" w:space="0" w:color="auto"/>
        <w:bottom w:val="none" w:sz="0" w:space="0" w:color="auto"/>
        <w:right w:val="none" w:sz="0" w:space="0" w:color="auto"/>
      </w:divBdr>
      <w:divsChild>
        <w:div w:id="1355493573">
          <w:marLeft w:val="0"/>
          <w:marRight w:val="0"/>
          <w:marTop w:val="0"/>
          <w:marBottom w:val="0"/>
          <w:divBdr>
            <w:top w:val="none" w:sz="0" w:space="0" w:color="auto"/>
            <w:left w:val="none" w:sz="0" w:space="0" w:color="auto"/>
            <w:bottom w:val="none" w:sz="0" w:space="0" w:color="auto"/>
            <w:right w:val="none" w:sz="0" w:space="0" w:color="auto"/>
          </w:divBdr>
          <w:divsChild>
            <w:div w:id="2140604595">
              <w:marLeft w:val="0"/>
              <w:marRight w:val="0"/>
              <w:marTop w:val="0"/>
              <w:marBottom w:val="0"/>
              <w:divBdr>
                <w:top w:val="none" w:sz="0" w:space="0" w:color="auto"/>
                <w:left w:val="none" w:sz="0" w:space="0" w:color="auto"/>
                <w:bottom w:val="none" w:sz="0" w:space="0" w:color="auto"/>
                <w:right w:val="none" w:sz="0" w:space="0" w:color="auto"/>
              </w:divBdr>
              <w:divsChild>
                <w:div w:id="814761048">
                  <w:marLeft w:val="0"/>
                  <w:marRight w:val="0"/>
                  <w:marTop w:val="0"/>
                  <w:marBottom w:val="0"/>
                  <w:divBdr>
                    <w:top w:val="none" w:sz="0" w:space="0" w:color="auto"/>
                    <w:left w:val="none" w:sz="0" w:space="0" w:color="auto"/>
                    <w:bottom w:val="none" w:sz="0" w:space="0" w:color="auto"/>
                    <w:right w:val="none" w:sz="0" w:space="0" w:color="auto"/>
                  </w:divBdr>
                  <w:divsChild>
                    <w:div w:id="7172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A484-1C9A-42F6-B312-623F4221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1307</Words>
  <Characters>7450</Characters>
  <Application>Microsoft Office Word</Application>
  <DocSecurity>0</DocSecurity>
  <Lines>62</Lines>
  <Paragraphs>17</Paragraphs>
  <ScaleCrop>false</ScaleCrop>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林嘉雯</dc:creator>
  <cp:lastModifiedBy>楊美雪</cp:lastModifiedBy>
  <cp:revision>3</cp:revision>
  <cp:lastPrinted>2022-06-09T00:51:00Z</cp:lastPrinted>
  <dcterms:created xsi:type="dcterms:W3CDTF">2022-06-09T00:49:00Z</dcterms:created>
  <dcterms:modified xsi:type="dcterms:W3CDTF">2022-06-09T00:57:00Z</dcterms:modified>
</cp:coreProperties>
</file>