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ED49B" w14:textId="4ADD8D36" w:rsidR="00C32189" w:rsidRDefault="002D59FA" w:rsidP="00C32189">
      <w:pPr>
        <w:pStyle w:val="1"/>
        <w:spacing w:line="508" w:lineRule="exact"/>
        <w:ind w:left="0" w:right="0"/>
        <w:rPr>
          <w:b w:val="0"/>
        </w:rPr>
      </w:pPr>
      <w:r w:rsidRPr="00806226">
        <w:rPr>
          <w:rFonts w:ascii="標楷體" w:eastAsia="標楷體" w:hAnsi="標楷體" w:hint="eastAsia"/>
        </w:rPr>
        <w:t>兆豐金融控股股份有限公司</w:t>
      </w:r>
      <w:r>
        <w:rPr>
          <w:rFonts w:ascii="標楷體" w:eastAsia="標楷體" w:hAnsi="標楷體" w:hint="eastAsia"/>
        </w:rPr>
        <w:t xml:space="preserve"> </w:t>
      </w:r>
      <w:r w:rsidRPr="00806226">
        <w:rPr>
          <w:rFonts w:ascii="標楷體" w:eastAsia="標楷體" w:hAnsi="標楷體" w:hint="eastAsia"/>
        </w:rPr>
        <w:t>永續金融政策</w:t>
      </w:r>
    </w:p>
    <w:p w14:paraId="2C9F41A9" w14:textId="77777777" w:rsidR="00C32189" w:rsidRDefault="00C32189" w:rsidP="00C32189">
      <w:pPr>
        <w:pStyle w:val="Default"/>
        <w:jc w:val="center"/>
      </w:pPr>
    </w:p>
    <w:p w14:paraId="74A6B3E7" w14:textId="77777777" w:rsidR="00C32189" w:rsidRPr="002D59FA" w:rsidRDefault="00C32189" w:rsidP="00C32189">
      <w:pPr>
        <w:pStyle w:val="Default"/>
        <w:rPr>
          <w:color w:val="000000" w:themeColor="text1"/>
        </w:rPr>
      </w:pPr>
      <w:r w:rsidRPr="002D59FA">
        <w:rPr>
          <w:rFonts w:hint="eastAsia"/>
          <w:color w:val="000000" w:themeColor="text1"/>
        </w:rPr>
        <w:t>第一條</w:t>
      </w:r>
      <w:r w:rsidRPr="002D59FA">
        <w:rPr>
          <w:color w:val="000000" w:themeColor="text1"/>
        </w:rPr>
        <w:t xml:space="preserve"> </w:t>
      </w:r>
      <w:r w:rsidRPr="002D59FA">
        <w:rPr>
          <w:rFonts w:hint="eastAsia"/>
          <w:color w:val="000000" w:themeColor="text1"/>
        </w:rPr>
        <w:t>(目的及依據)</w:t>
      </w:r>
    </w:p>
    <w:p w14:paraId="3A509802" w14:textId="361A364A" w:rsidR="00C32189" w:rsidRPr="002D59FA" w:rsidRDefault="00C32189" w:rsidP="00C32189">
      <w:pPr>
        <w:pStyle w:val="Default"/>
        <w:spacing w:afterLines="50" w:after="180"/>
        <w:ind w:left="482"/>
        <w:rPr>
          <w:rFonts w:hAnsi="Times New Roman"/>
          <w:color w:val="000000" w:themeColor="text1"/>
        </w:rPr>
      </w:pPr>
      <w:r w:rsidRPr="002D59FA">
        <w:rPr>
          <w:rFonts w:ascii="Arial" w:hAnsi="Arial" w:cs="Arial"/>
          <w:color w:val="000000" w:themeColor="text1"/>
        </w:rPr>
        <w:t>為追求集團永續成長並建構永續發展藍圖，引領本公司及子公司發展經濟成長與環境保護共存之商業模式，順應聯合國永續發展目標（</w:t>
      </w:r>
      <w:r w:rsidRPr="002D59FA">
        <w:rPr>
          <w:rFonts w:ascii="Arial" w:hAnsi="Arial" w:cs="Arial"/>
          <w:color w:val="000000" w:themeColor="text1"/>
        </w:rPr>
        <w:t xml:space="preserve">Sustainable Development Goals, </w:t>
      </w:r>
      <w:r w:rsidRPr="002D59FA">
        <w:rPr>
          <w:rFonts w:ascii="Arial" w:hAnsi="Arial" w:cs="Arial"/>
          <w:color w:val="000000" w:themeColor="text1"/>
        </w:rPr>
        <w:t>簡稱</w:t>
      </w:r>
      <w:r w:rsidRPr="002D59FA">
        <w:rPr>
          <w:rFonts w:ascii="Arial" w:hAnsi="Arial" w:cs="Arial"/>
          <w:color w:val="000000" w:themeColor="text1"/>
        </w:rPr>
        <w:t>SDGs</w:t>
      </w:r>
      <w:r w:rsidRPr="002D59FA">
        <w:rPr>
          <w:rFonts w:ascii="Arial" w:hAnsi="Arial" w:cs="Arial"/>
          <w:color w:val="000000" w:themeColor="text1"/>
        </w:rPr>
        <w:t>），遵循國際永續金融倡議及主管機關綠色金融相關政策等，透過集團核心業務發揮金融業者形塑永續社會之正向影響力，以落實企業社會責任，提升金融包容性，扶植低碳經濟產業發展與創新，特訂定本政策。</w:t>
      </w:r>
    </w:p>
    <w:p w14:paraId="40E45E91" w14:textId="77777777" w:rsidR="00C32189" w:rsidRPr="002D59FA" w:rsidRDefault="00C32189" w:rsidP="00C32189">
      <w:pPr>
        <w:pStyle w:val="Default"/>
        <w:rPr>
          <w:rFonts w:hAnsi="Times New Roman"/>
          <w:color w:val="000000" w:themeColor="text1"/>
        </w:rPr>
      </w:pPr>
      <w:r w:rsidRPr="002D59FA">
        <w:rPr>
          <w:rFonts w:hAnsi="Times New Roman" w:hint="eastAsia"/>
          <w:color w:val="000000" w:themeColor="text1"/>
        </w:rPr>
        <w:t>第二條 (權責單位)</w:t>
      </w:r>
    </w:p>
    <w:p w14:paraId="140CB25A" w14:textId="77777777" w:rsidR="00C32189" w:rsidRPr="002D59FA" w:rsidRDefault="00C32189" w:rsidP="00C32189">
      <w:pPr>
        <w:pStyle w:val="Default"/>
        <w:spacing w:afterLines="50" w:after="180"/>
        <w:ind w:left="482"/>
        <w:rPr>
          <w:rFonts w:ascii="Arial" w:hAnsi="Arial" w:cs="Arial"/>
          <w:color w:val="000000" w:themeColor="text1"/>
        </w:rPr>
      </w:pPr>
      <w:r w:rsidRPr="002D59FA">
        <w:rPr>
          <w:rFonts w:ascii="Arial" w:hAnsi="Arial" w:cs="Arial"/>
          <w:color w:val="000000" w:themeColor="text1"/>
        </w:rPr>
        <w:t>本政策之權責單位為事業發展部。</w:t>
      </w:r>
    </w:p>
    <w:p w14:paraId="4622D9B9" w14:textId="77777777" w:rsidR="00C32189" w:rsidRPr="002D59FA" w:rsidRDefault="00C32189" w:rsidP="00C32189">
      <w:pPr>
        <w:pStyle w:val="Default"/>
        <w:rPr>
          <w:rFonts w:ascii="Arial" w:hAnsi="Arial" w:cs="Arial"/>
          <w:color w:val="000000" w:themeColor="text1"/>
        </w:rPr>
      </w:pPr>
      <w:r w:rsidRPr="002D59FA">
        <w:rPr>
          <w:rFonts w:ascii="Arial" w:hAnsi="Arial" w:cs="Arial"/>
          <w:color w:val="000000" w:themeColor="text1"/>
        </w:rPr>
        <w:t>第三條</w:t>
      </w:r>
      <w:r w:rsidRPr="002D59FA">
        <w:rPr>
          <w:rFonts w:ascii="Arial" w:hAnsi="Arial" w:cs="Arial"/>
          <w:color w:val="000000" w:themeColor="text1"/>
        </w:rPr>
        <w:t xml:space="preserve"> </w:t>
      </w:r>
      <w:r w:rsidRPr="002D59FA">
        <w:rPr>
          <w:rFonts w:ascii="Arial" w:hAnsi="Arial" w:cs="Arial" w:hint="eastAsia"/>
          <w:color w:val="000000" w:themeColor="text1"/>
        </w:rPr>
        <w:t>(</w:t>
      </w:r>
      <w:r w:rsidRPr="002D59FA">
        <w:rPr>
          <w:rFonts w:ascii="Arial" w:hAnsi="Arial" w:cs="Arial"/>
          <w:color w:val="000000" w:themeColor="text1"/>
        </w:rPr>
        <w:t>適用對象</w:t>
      </w:r>
      <w:r w:rsidRPr="002D59FA">
        <w:rPr>
          <w:rFonts w:ascii="Arial" w:hAnsi="Arial" w:cs="Arial" w:hint="eastAsia"/>
          <w:color w:val="000000" w:themeColor="text1"/>
        </w:rPr>
        <w:t>)</w:t>
      </w:r>
    </w:p>
    <w:p w14:paraId="42075C6F" w14:textId="77777777" w:rsidR="00C32189" w:rsidRPr="002D59FA" w:rsidRDefault="00C32189" w:rsidP="00C32189">
      <w:pPr>
        <w:pStyle w:val="Default"/>
        <w:ind w:left="480"/>
        <w:rPr>
          <w:rFonts w:ascii="Arial" w:hAnsi="Arial" w:cs="Arial"/>
          <w:color w:val="000000" w:themeColor="text1"/>
        </w:rPr>
      </w:pPr>
      <w:r w:rsidRPr="002D59FA">
        <w:rPr>
          <w:rFonts w:ascii="Arial" w:hAnsi="Arial" w:cs="Arial"/>
          <w:color w:val="000000" w:themeColor="text1"/>
        </w:rPr>
        <w:t>本政策適用於本公司及子公司。</w:t>
      </w:r>
    </w:p>
    <w:p w14:paraId="2F71DA14" w14:textId="77777777" w:rsidR="00C32189" w:rsidRPr="002D59FA" w:rsidRDefault="00C32189" w:rsidP="00C32189">
      <w:pPr>
        <w:pStyle w:val="Default"/>
        <w:spacing w:afterLines="50" w:after="180"/>
        <w:ind w:left="482"/>
        <w:rPr>
          <w:rFonts w:ascii="Arial" w:hAnsi="Arial" w:cs="Arial"/>
          <w:color w:val="000000" w:themeColor="text1"/>
        </w:rPr>
      </w:pPr>
      <w:r w:rsidRPr="002D59FA">
        <w:rPr>
          <w:rFonts w:ascii="Arial" w:hAnsi="Arial" w:cs="Arial"/>
          <w:color w:val="000000" w:themeColor="text1"/>
        </w:rPr>
        <w:t>前項之子公司係指本公司直接投資持有已發行有表決權股份總數或資本總額超過百分之五十，或其過半數董事由本公司直接指派之其他公司。</w:t>
      </w:r>
    </w:p>
    <w:p w14:paraId="3DC7FD3E" w14:textId="77777777" w:rsidR="00C32189" w:rsidRPr="002D59FA" w:rsidRDefault="00C32189" w:rsidP="00C32189">
      <w:pPr>
        <w:pStyle w:val="Default"/>
        <w:rPr>
          <w:rFonts w:ascii="Arial" w:hAnsi="Arial" w:cs="Arial"/>
          <w:color w:val="000000" w:themeColor="text1"/>
        </w:rPr>
      </w:pPr>
      <w:r w:rsidRPr="002D59FA">
        <w:rPr>
          <w:rFonts w:ascii="Arial" w:hAnsi="Arial" w:cs="Arial"/>
          <w:color w:val="000000" w:themeColor="text1"/>
        </w:rPr>
        <w:t>第四條</w:t>
      </w:r>
      <w:r w:rsidRPr="002D59FA">
        <w:rPr>
          <w:rFonts w:ascii="Arial" w:hAnsi="Arial" w:cs="Arial"/>
          <w:color w:val="000000" w:themeColor="text1"/>
        </w:rPr>
        <w:t xml:space="preserve"> </w:t>
      </w:r>
      <w:r w:rsidRPr="002D59FA">
        <w:rPr>
          <w:rFonts w:ascii="Arial" w:hAnsi="Arial" w:cs="Arial" w:hint="eastAsia"/>
          <w:color w:val="000000" w:themeColor="text1"/>
        </w:rPr>
        <w:t>(</w:t>
      </w:r>
      <w:r w:rsidRPr="002D59FA">
        <w:rPr>
          <w:rFonts w:ascii="Arial" w:hAnsi="Arial" w:cs="Arial"/>
          <w:color w:val="000000" w:themeColor="text1"/>
        </w:rPr>
        <w:t>遵循原則</w:t>
      </w:r>
      <w:r w:rsidRPr="002D59FA">
        <w:rPr>
          <w:rFonts w:ascii="Arial" w:hAnsi="Arial" w:cs="Arial" w:hint="eastAsia"/>
          <w:color w:val="000000" w:themeColor="text1"/>
        </w:rPr>
        <w:t>)</w:t>
      </w:r>
    </w:p>
    <w:p w14:paraId="3C4B1468" w14:textId="77777777" w:rsidR="00C32189" w:rsidRPr="002D59FA" w:rsidRDefault="00C32189" w:rsidP="00C32189">
      <w:pPr>
        <w:pStyle w:val="Default"/>
        <w:ind w:left="480"/>
        <w:rPr>
          <w:rFonts w:ascii="Arial" w:hAnsi="Arial" w:cs="Arial"/>
          <w:color w:val="000000" w:themeColor="text1"/>
        </w:rPr>
      </w:pPr>
      <w:r w:rsidRPr="002D59FA">
        <w:rPr>
          <w:rFonts w:ascii="Arial" w:hAnsi="Arial" w:cs="Arial"/>
          <w:color w:val="000000" w:themeColor="text1"/>
        </w:rPr>
        <w:t>本公司及子公司授信、投資與保險承保決策流程及商品審查等管理機制，應依據主管機關所定義之永續金融範圍及分類，並參考國內外永續</w:t>
      </w:r>
      <w:r w:rsidRPr="002D59FA">
        <w:rPr>
          <w:rFonts w:ascii="Arial" w:hAnsi="Arial" w:cs="Arial" w:hint="eastAsia"/>
          <w:color w:val="000000" w:themeColor="text1"/>
        </w:rPr>
        <w:t>發展</w:t>
      </w:r>
      <w:r w:rsidRPr="002D59FA">
        <w:rPr>
          <w:rFonts w:ascii="Arial" w:hAnsi="Arial" w:cs="Arial"/>
          <w:color w:val="000000" w:themeColor="text1"/>
        </w:rPr>
        <w:t>相關標準，如「機構投資人盡職治理守則」、「銀行公會授信準則」、「金管會綠色金融行動方案」、「赤道原則</w:t>
      </w:r>
      <w:r w:rsidRPr="002D59FA">
        <w:rPr>
          <w:rFonts w:ascii="Arial" w:hAnsi="Arial" w:cs="Arial"/>
          <w:color w:val="000000" w:themeColor="text1"/>
        </w:rPr>
        <w:t>(EP)</w:t>
      </w:r>
      <w:r w:rsidRPr="002D59FA">
        <w:rPr>
          <w:rFonts w:ascii="Arial" w:hAnsi="Arial" w:cs="Arial"/>
          <w:color w:val="000000" w:themeColor="text1"/>
        </w:rPr>
        <w:t>」、「責任投資原則</w:t>
      </w:r>
      <w:r w:rsidRPr="002D59FA">
        <w:rPr>
          <w:rFonts w:ascii="Arial" w:hAnsi="Arial" w:cs="Arial"/>
          <w:color w:val="000000" w:themeColor="text1"/>
        </w:rPr>
        <w:t>(PRI)</w:t>
      </w:r>
      <w:r w:rsidRPr="002D59FA">
        <w:rPr>
          <w:rFonts w:ascii="Arial" w:hAnsi="Arial" w:cs="Arial"/>
          <w:color w:val="000000" w:themeColor="text1"/>
        </w:rPr>
        <w:t>」、「永續保險原則</w:t>
      </w:r>
      <w:r w:rsidRPr="002D59FA">
        <w:rPr>
          <w:rFonts w:ascii="Arial" w:hAnsi="Arial" w:cs="Arial"/>
          <w:color w:val="000000" w:themeColor="text1"/>
        </w:rPr>
        <w:t>(PSI)</w:t>
      </w:r>
      <w:r w:rsidRPr="002D59FA">
        <w:rPr>
          <w:rFonts w:ascii="Arial" w:hAnsi="Arial" w:cs="Arial"/>
          <w:color w:val="000000" w:themeColor="text1"/>
        </w:rPr>
        <w:t>」、「責任銀行原則</w:t>
      </w:r>
      <w:r w:rsidRPr="002D59FA">
        <w:rPr>
          <w:rFonts w:ascii="Arial" w:hAnsi="Arial" w:cs="Arial"/>
          <w:color w:val="000000" w:themeColor="text1"/>
        </w:rPr>
        <w:t>(PRB)</w:t>
      </w:r>
      <w:r w:rsidRPr="002D59FA">
        <w:rPr>
          <w:rFonts w:ascii="Arial" w:hAnsi="Arial" w:cs="Arial"/>
          <w:color w:val="000000" w:themeColor="text1"/>
        </w:rPr>
        <w:t>」及「</w:t>
      </w:r>
      <w:r w:rsidRPr="002D59FA">
        <w:rPr>
          <w:rFonts w:ascii="Arial" w:hAnsi="Arial" w:cs="Arial"/>
          <w:color w:val="000000" w:themeColor="text1"/>
        </w:rPr>
        <w:t>IFC Performance Standards &amp; EHS Guidelines</w:t>
      </w:r>
      <w:r w:rsidRPr="002D59FA">
        <w:rPr>
          <w:rFonts w:ascii="Arial" w:hAnsi="Arial" w:cs="Arial"/>
          <w:color w:val="000000" w:themeColor="text1"/>
        </w:rPr>
        <w:t>」、「</w:t>
      </w:r>
      <w:r w:rsidRPr="002D59FA">
        <w:rPr>
          <w:rFonts w:ascii="Arial" w:hAnsi="Arial" w:cs="Arial"/>
          <w:color w:val="000000" w:themeColor="text1"/>
        </w:rPr>
        <w:t>IFC Exclusion List</w:t>
      </w:r>
      <w:r w:rsidRPr="002D59FA">
        <w:rPr>
          <w:rFonts w:ascii="Arial" w:hAnsi="Arial" w:cs="Arial"/>
          <w:color w:val="000000" w:themeColor="text1"/>
        </w:rPr>
        <w:t>」</w:t>
      </w:r>
      <w:r w:rsidRPr="002D59FA">
        <w:rPr>
          <w:rFonts w:ascii="新細明體" w:eastAsia="新細明體" w:hAnsi="新細明體" w:cs="Arial" w:hint="eastAsia"/>
          <w:color w:val="000000" w:themeColor="text1"/>
        </w:rPr>
        <w:t>、</w:t>
      </w:r>
      <w:bookmarkStart w:id="0" w:name="_Hlk120891362"/>
      <w:r w:rsidRPr="002D59FA">
        <w:rPr>
          <w:rFonts w:hAnsi="標楷體" w:cs="Arial" w:hint="eastAsia"/>
          <w:color w:val="000000" w:themeColor="text1"/>
        </w:rPr>
        <w:t>聯合國</w:t>
      </w:r>
      <w:r w:rsidRPr="002D59FA">
        <w:rPr>
          <w:rFonts w:ascii="新細明體" w:eastAsia="新細明體" w:hAnsi="新細明體" w:cs="Arial" w:hint="eastAsia"/>
          <w:color w:val="000000" w:themeColor="text1"/>
        </w:rPr>
        <w:t>「</w:t>
      </w:r>
      <w:r w:rsidRPr="002D59FA">
        <w:rPr>
          <w:rFonts w:hAnsi="標楷體" w:cs="Arial" w:hint="eastAsia"/>
          <w:color w:val="000000" w:themeColor="text1"/>
        </w:rPr>
        <w:t>生物多樣性公約」</w:t>
      </w:r>
      <w:bookmarkEnd w:id="0"/>
      <w:r w:rsidRPr="002D59FA">
        <w:rPr>
          <w:rFonts w:ascii="Arial" w:hAnsi="Arial" w:cs="Arial"/>
          <w:color w:val="000000" w:themeColor="text1"/>
        </w:rPr>
        <w:t>(CBD)</w:t>
      </w:r>
      <w:r w:rsidRPr="002D59FA">
        <w:rPr>
          <w:rFonts w:ascii="Arial" w:hAnsi="Arial" w:cs="Arial"/>
          <w:color w:val="000000" w:themeColor="text1"/>
        </w:rPr>
        <w:t>等其他</w:t>
      </w:r>
      <w:r w:rsidRPr="002D59FA">
        <w:rPr>
          <w:rFonts w:ascii="Arial" w:hAnsi="Arial" w:cs="Arial"/>
          <w:color w:val="000000" w:themeColor="text1"/>
        </w:rPr>
        <w:t>ESG(Environmental, Social, and Governance)</w:t>
      </w:r>
      <w:r w:rsidRPr="002D59FA">
        <w:rPr>
          <w:rFonts w:ascii="Arial" w:hAnsi="Arial" w:cs="Arial"/>
          <w:color w:val="000000" w:themeColor="text1"/>
        </w:rPr>
        <w:t>相關原則、標準或指引</w:t>
      </w:r>
      <w:r w:rsidRPr="002D59FA">
        <w:rPr>
          <w:rFonts w:ascii="Arial" w:hAnsi="Arial" w:cs="Arial" w:hint="eastAsia"/>
          <w:color w:val="000000" w:themeColor="text1"/>
        </w:rPr>
        <w:t>。</w:t>
      </w:r>
    </w:p>
    <w:p w14:paraId="275AAE4D" w14:textId="77777777" w:rsidR="00C32189" w:rsidRPr="002D59FA" w:rsidRDefault="00C32189" w:rsidP="00C32189">
      <w:pPr>
        <w:pStyle w:val="Default"/>
        <w:spacing w:afterLines="50" w:after="180"/>
        <w:ind w:left="482"/>
        <w:rPr>
          <w:rFonts w:ascii="Arial" w:hAnsi="Arial" w:cs="Arial"/>
          <w:color w:val="000000" w:themeColor="text1"/>
        </w:rPr>
      </w:pPr>
      <w:r w:rsidRPr="002D59FA">
        <w:rPr>
          <w:rFonts w:ascii="Arial" w:hAnsi="Arial" w:cs="Arial"/>
          <w:color w:val="000000" w:themeColor="text1"/>
        </w:rPr>
        <w:t>本公司及子公司</w:t>
      </w:r>
      <w:r w:rsidRPr="002D59FA">
        <w:rPr>
          <w:rFonts w:ascii="Arial" w:hAnsi="Arial" w:cs="Arial" w:hint="eastAsia"/>
          <w:color w:val="000000" w:themeColor="text1"/>
        </w:rPr>
        <w:t>之</w:t>
      </w:r>
      <w:r w:rsidRPr="002D59FA">
        <w:rPr>
          <w:rFonts w:ascii="Arial" w:hAnsi="Arial" w:cs="Arial"/>
          <w:color w:val="000000" w:themeColor="text1"/>
        </w:rPr>
        <w:t>海外據點</w:t>
      </w:r>
      <w:r w:rsidRPr="002D59FA">
        <w:rPr>
          <w:rFonts w:ascii="Arial" w:hAnsi="Arial" w:cs="Arial" w:hint="eastAsia"/>
          <w:color w:val="000000" w:themeColor="text1"/>
        </w:rPr>
        <w:t>，除前揭</w:t>
      </w:r>
      <w:r w:rsidRPr="002D59FA">
        <w:rPr>
          <w:rFonts w:ascii="Arial" w:hAnsi="Arial" w:cs="Arial"/>
          <w:color w:val="000000" w:themeColor="text1"/>
        </w:rPr>
        <w:t>原則、標準或指引</w:t>
      </w:r>
      <w:r w:rsidRPr="002D59FA">
        <w:rPr>
          <w:rFonts w:ascii="Arial" w:hAnsi="Arial" w:cs="Arial" w:hint="eastAsia"/>
          <w:color w:val="000000" w:themeColor="text1"/>
        </w:rPr>
        <w:t>外，並應遵守</w:t>
      </w:r>
      <w:r w:rsidRPr="002D59FA">
        <w:rPr>
          <w:rFonts w:ascii="Arial" w:hAnsi="Arial" w:cs="Arial"/>
          <w:color w:val="000000" w:themeColor="text1"/>
        </w:rPr>
        <w:t>當地法令規範與監理機關永續金融之要求。</w:t>
      </w:r>
    </w:p>
    <w:p w14:paraId="5CDD959D" w14:textId="77777777" w:rsidR="00C32189" w:rsidRPr="002D59FA" w:rsidRDefault="00C32189" w:rsidP="00C32189">
      <w:pPr>
        <w:pStyle w:val="Default"/>
        <w:rPr>
          <w:rFonts w:ascii="Arial" w:hAnsi="Arial" w:cs="Arial"/>
          <w:color w:val="000000" w:themeColor="text1"/>
        </w:rPr>
      </w:pPr>
      <w:r w:rsidRPr="002D59FA">
        <w:rPr>
          <w:rFonts w:ascii="Arial" w:hAnsi="Arial" w:cs="Arial"/>
          <w:color w:val="000000" w:themeColor="text1"/>
        </w:rPr>
        <w:t>第五條</w:t>
      </w:r>
      <w:r w:rsidRPr="002D59FA">
        <w:rPr>
          <w:rFonts w:ascii="Arial" w:hAnsi="Arial" w:cs="Arial"/>
          <w:color w:val="000000" w:themeColor="text1"/>
        </w:rPr>
        <w:t xml:space="preserve"> </w:t>
      </w:r>
      <w:r w:rsidRPr="002D59FA">
        <w:rPr>
          <w:rFonts w:ascii="Arial" w:hAnsi="Arial" w:cs="Arial" w:hint="eastAsia"/>
          <w:color w:val="000000" w:themeColor="text1"/>
        </w:rPr>
        <w:t>(</w:t>
      </w:r>
      <w:r w:rsidRPr="002D59FA">
        <w:rPr>
          <w:rFonts w:ascii="Arial" w:hAnsi="Arial" w:cs="Arial"/>
          <w:color w:val="000000" w:themeColor="text1"/>
        </w:rPr>
        <w:t>實施原則</w:t>
      </w:r>
      <w:r w:rsidRPr="002D59FA">
        <w:rPr>
          <w:rFonts w:ascii="Arial" w:hAnsi="Arial" w:cs="Arial" w:hint="eastAsia"/>
          <w:color w:val="000000" w:themeColor="text1"/>
        </w:rPr>
        <w:t>)</w:t>
      </w:r>
    </w:p>
    <w:p w14:paraId="3BC1997A" w14:textId="77777777" w:rsidR="00C32189" w:rsidRPr="002D59FA" w:rsidRDefault="00C32189" w:rsidP="00C32189">
      <w:pPr>
        <w:autoSpaceDE w:val="0"/>
        <w:autoSpaceDN w:val="0"/>
        <w:adjustRightInd w:val="0"/>
        <w:ind w:leftChars="200" w:left="48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本政策實施原則如下：</w:t>
      </w:r>
    </w:p>
    <w:p w14:paraId="0D29B750" w14:textId="77777777" w:rsidR="00C32189" w:rsidRPr="002D59FA" w:rsidRDefault="00C32189" w:rsidP="00C32189">
      <w:pPr>
        <w:autoSpaceDE w:val="0"/>
        <w:autoSpaceDN w:val="0"/>
        <w:adjustRightInd w:val="0"/>
        <w:ind w:leftChars="200" w:left="48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一</w:t>
      </w:r>
      <w:r w:rsidRPr="002D59FA">
        <w:rPr>
          <w:rFonts w:ascii="新細明體" w:eastAsia="新細明體" w:hAnsi="新細明體" w:cs="Arial" w:hint="eastAsia"/>
          <w:color w:val="000000" w:themeColor="text1"/>
          <w:kern w:val="0"/>
          <w:szCs w:val="24"/>
        </w:rPr>
        <w:t>、</w:t>
      </w:r>
      <w:r w:rsidRPr="002D59FA">
        <w:rPr>
          <w:rFonts w:ascii="Arial" w:eastAsia="標楷體" w:hAnsi="Arial" w:cs="Arial"/>
          <w:color w:val="000000" w:themeColor="text1"/>
          <w:kern w:val="0"/>
          <w:szCs w:val="24"/>
        </w:rPr>
        <w:t>永續金融產品</w:t>
      </w:r>
      <w:r w:rsidRPr="002D59FA">
        <w:rPr>
          <w:rFonts w:ascii="Arial" w:eastAsia="標楷體" w:hAnsi="Arial" w:cs="Arial"/>
          <w:color w:val="000000" w:themeColor="text1"/>
          <w:kern w:val="0"/>
          <w:szCs w:val="24"/>
        </w:rPr>
        <w:t>/</w:t>
      </w:r>
      <w:r w:rsidRPr="002D59FA">
        <w:rPr>
          <w:rFonts w:ascii="Arial" w:eastAsia="標楷體" w:hAnsi="Arial" w:cs="Arial"/>
          <w:color w:val="000000" w:themeColor="text1"/>
          <w:kern w:val="0"/>
          <w:szCs w:val="24"/>
        </w:rPr>
        <w:t>服務</w:t>
      </w:r>
    </w:p>
    <w:p w14:paraId="146A3150" w14:textId="77777777" w:rsidR="00C32189" w:rsidRPr="002D59FA" w:rsidRDefault="00C32189" w:rsidP="00C32189">
      <w:pPr>
        <w:autoSpaceDE w:val="0"/>
        <w:autoSpaceDN w:val="0"/>
        <w:adjustRightInd w:val="0"/>
        <w:spacing w:afterLines="50" w:after="180"/>
        <w:ind w:leftChars="500" w:left="120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順應國際永續金融倡議、主管機關綠色金融及普惠金融相關政策發展趨勢與分類原則，鼓勵集團各公司辦理</w:t>
      </w:r>
      <w:proofErr w:type="gramStart"/>
      <w:r w:rsidRPr="002D59FA">
        <w:rPr>
          <w:rFonts w:ascii="Arial" w:eastAsia="標楷體" w:hAnsi="Arial" w:cs="Arial"/>
          <w:color w:val="000000" w:themeColor="text1"/>
          <w:kern w:val="0"/>
          <w:szCs w:val="24"/>
        </w:rPr>
        <w:t>低碳授信</w:t>
      </w:r>
      <w:proofErr w:type="gramEnd"/>
      <w:r w:rsidRPr="002D59FA">
        <w:rPr>
          <w:rFonts w:ascii="Arial" w:eastAsia="標楷體" w:hAnsi="Arial" w:cs="Arial"/>
          <w:color w:val="000000" w:themeColor="text1"/>
          <w:kern w:val="0"/>
          <w:szCs w:val="24"/>
        </w:rPr>
        <w:t>、投資</w:t>
      </w:r>
      <w:r w:rsidRPr="002D59FA">
        <w:rPr>
          <w:rFonts w:ascii="新細明體" w:eastAsia="新細明體" w:hAnsi="新細明體" w:cs="Arial" w:hint="eastAsia"/>
          <w:color w:val="000000" w:themeColor="text1"/>
          <w:kern w:val="0"/>
          <w:szCs w:val="24"/>
        </w:rPr>
        <w:t>、</w:t>
      </w:r>
      <w:r w:rsidRPr="002D59FA">
        <w:rPr>
          <w:rFonts w:ascii="Arial" w:eastAsia="標楷體" w:hAnsi="Arial" w:cs="Arial"/>
          <w:color w:val="000000" w:themeColor="text1"/>
          <w:kern w:val="0"/>
          <w:szCs w:val="24"/>
        </w:rPr>
        <w:t>保險承保及相關永續金融商品，積極支持具環境保護、社會責任或永續治理之企業，協助客戶</w:t>
      </w:r>
      <w:proofErr w:type="gramStart"/>
      <w:r w:rsidRPr="002D59FA">
        <w:rPr>
          <w:rFonts w:ascii="Arial" w:eastAsia="標楷體" w:hAnsi="Arial" w:cs="Arial"/>
          <w:color w:val="000000" w:themeColor="text1"/>
          <w:kern w:val="0"/>
          <w:szCs w:val="24"/>
        </w:rPr>
        <w:t>發展綠能產</w:t>
      </w:r>
      <w:proofErr w:type="gramEnd"/>
      <w:r w:rsidRPr="002D59FA">
        <w:rPr>
          <w:rFonts w:ascii="Arial" w:eastAsia="標楷體" w:hAnsi="Arial" w:cs="Arial"/>
          <w:color w:val="000000" w:themeColor="text1"/>
          <w:kern w:val="0"/>
          <w:szCs w:val="24"/>
        </w:rPr>
        <w:t>業、轉型綠色經濟，以</w:t>
      </w:r>
      <w:proofErr w:type="gramStart"/>
      <w:r w:rsidRPr="002D59FA">
        <w:rPr>
          <w:rFonts w:ascii="Arial" w:eastAsia="標楷體" w:hAnsi="Arial" w:cs="Arial"/>
          <w:color w:val="000000" w:themeColor="text1"/>
          <w:kern w:val="0"/>
          <w:szCs w:val="24"/>
        </w:rPr>
        <w:t>建構永</w:t>
      </w:r>
      <w:proofErr w:type="gramEnd"/>
      <w:r w:rsidRPr="002D59FA">
        <w:rPr>
          <w:rFonts w:ascii="Arial" w:eastAsia="標楷體" w:hAnsi="Arial" w:cs="Arial"/>
          <w:color w:val="000000" w:themeColor="text1"/>
          <w:kern w:val="0"/>
          <w:szCs w:val="24"/>
        </w:rPr>
        <w:t>續社會。</w:t>
      </w:r>
    </w:p>
    <w:p w14:paraId="48F274D9" w14:textId="041A21B8" w:rsidR="00C32189" w:rsidRPr="002D59FA" w:rsidRDefault="00C32189" w:rsidP="00C32189">
      <w:pPr>
        <w:autoSpaceDE w:val="0"/>
        <w:autoSpaceDN w:val="0"/>
        <w:adjustRightInd w:val="0"/>
        <w:ind w:leftChars="200" w:left="48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二</w:t>
      </w:r>
      <w:r w:rsidRPr="002D59FA">
        <w:rPr>
          <w:rFonts w:ascii="新細明體" w:eastAsia="新細明體" w:hAnsi="新細明體" w:cs="Arial" w:hint="eastAsia"/>
          <w:color w:val="000000" w:themeColor="text1"/>
          <w:kern w:val="0"/>
          <w:szCs w:val="24"/>
        </w:rPr>
        <w:t>、</w:t>
      </w:r>
      <w:r w:rsidRPr="002D59FA">
        <w:rPr>
          <w:rFonts w:ascii="Arial" w:eastAsia="標楷體" w:hAnsi="Arial" w:cs="Arial"/>
          <w:color w:val="000000" w:themeColor="text1"/>
          <w:kern w:val="0"/>
          <w:szCs w:val="24"/>
        </w:rPr>
        <w:t>國際倡議</w:t>
      </w:r>
      <w:bookmarkStart w:id="1" w:name="_GoBack"/>
      <w:bookmarkEnd w:id="1"/>
    </w:p>
    <w:p w14:paraId="187977CF" w14:textId="77777777" w:rsidR="00C32189" w:rsidRPr="002D59FA" w:rsidRDefault="00C32189" w:rsidP="00C32189">
      <w:pPr>
        <w:autoSpaceDE w:val="0"/>
        <w:autoSpaceDN w:val="0"/>
        <w:adjustRightInd w:val="0"/>
        <w:spacing w:afterLines="50" w:after="180"/>
        <w:ind w:leftChars="300" w:left="720" w:firstLine="48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鼓勵本公司及子公司積極參與及簽署與</w:t>
      </w:r>
      <w:r w:rsidRPr="002D59FA">
        <w:rPr>
          <w:rFonts w:ascii="Arial" w:eastAsia="標楷體" w:hAnsi="Arial" w:cs="Arial"/>
          <w:color w:val="000000" w:themeColor="text1"/>
          <w:kern w:val="0"/>
          <w:szCs w:val="24"/>
        </w:rPr>
        <w:t>ESG</w:t>
      </w:r>
      <w:r w:rsidRPr="002D59FA">
        <w:rPr>
          <w:rFonts w:ascii="Arial" w:eastAsia="標楷體" w:hAnsi="Arial" w:cs="Arial"/>
          <w:color w:val="000000" w:themeColor="text1"/>
          <w:kern w:val="0"/>
          <w:szCs w:val="24"/>
        </w:rPr>
        <w:t>相關之國際倡議及原則。</w:t>
      </w:r>
    </w:p>
    <w:p w14:paraId="06F604EA" w14:textId="77777777" w:rsidR="00C32189" w:rsidRPr="002D59FA" w:rsidRDefault="00C32189" w:rsidP="00C32189">
      <w:pPr>
        <w:autoSpaceDE w:val="0"/>
        <w:autoSpaceDN w:val="0"/>
        <w:adjustRightInd w:val="0"/>
        <w:ind w:leftChars="200" w:left="48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三</w:t>
      </w:r>
      <w:r w:rsidRPr="002D59FA">
        <w:rPr>
          <w:rFonts w:ascii="新細明體" w:eastAsia="新細明體" w:hAnsi="新細明體" w:cs="Arial" w:hint="eastAsia"/>
          <w:color w:val="000000" w:themeColor="text1"/>
          <w:kern w:val="0"/>
          <w:szCs w:val="24"/>
        </w:rPr>
        <w:t>、</w:t>
      </w:r>
      <w:r w:rsidRPr="002D59FA">
        <w:rPr>
          <w:rFonts w:ascii="Arial" w:eastAsia="標楷體" w:hAnsi="Arial" w:cs="Arial"/>
          <w:color w:val="000000" w:themeColor="text1"/>
          <w:kern w:val="0"/>
          <w:szCs w:val="24"/>
        </w:rPr>
        <w:t>營運管理</w:t>
      </w:r>
    </w:p>
    <w:p w14:paraId="272727C7" w14:textId="77777777" w:rsidR="00C32189" w:rsidRPr="002D59FA" w:rsidRDefault="00C32189" w:rsidP="00C32189">
      <w:pPr>
        <w:autoSpaceDE w:val="0"/>
        <w:autoSpaceDN w:val="0"/>
        <w:adjustRightInd w:val="0"/>
        <w:ind w:leftChars="500" w:left="120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本公司及子公司應秉持誠信、</w:t>
      </w:r>
      <w:proofErr w:type="gramStart"/>
      <w:r w:rsidRPr="002D59FA">
        <w:rPr>
          <w:rFonts w:ascii="Arial" w:eastAsia="標楷體" w:hAnsi="Arial" w:cs="Arial"/>
          <w:color w:val="000000" w:themeColor="text1"/>
          <w:kern w:val="0"/>
          <w:szCs w:val="24"/>
        </w:rPr>
        <w:t>當責</w:t>
      </w:r>
      <w:proofErr w:type="gramEnd"/>
      <w:r w:rsidRPr="002D59FA">
        <w:rPr>
          <w:rFonts w:ascii="Arial" w:eastAsia="標楷體" w:hAnsi="Arial" w:cs="Arial"/>
          <w:color w:val="000000" w:themeColor="text1"/>
          <w:kern w:val="0"/>
          <w:szCs w:val="24"/>
        </w:rPr>
        <w:t>、創新之經營理念，建立並持續檢討修正相關管理機制，發展並掌握</w:t>
      </w:r>
      <w:r w:rsidRPr="002D59FA">
        <w:rPr>
          <w:rFonts w:ascii="Arial" w:eastAsia="標楷體" w:hAnsi="Arial" w:cs="Arial"/>
          <w:color w:val="000000" w:themeColor="text1"/>
          <w:kern w:val="0"/>
          <w:szCs w:val="24"/>
        </w:rPr>
        <w:t xml:space="preserve"> ESG </w:t>
      </w:r>
      <w:r w:rsidRPr="002D59FA">
        <w:rPr>
          <w:rFonts w:ascii="Arial" w:eastAsia="標楷體" w:hAnsi="Arial" w:cs="Arial"/>
          <w:color w:val="000000" w:themeColor="text1"/>
          <w:kern w:val="0"/>
          <w:szCs w:val="24"/>
        </w:rPr>
        <w:t>商機之策略及目標，協助客戶進行低碳經濟轉型，運用金融市場力量推動永續發展。將</w:t>
      </w:r>
      <w:r w:rsidRPr="002D59FA">
        <w:rPr>
          <w:rFonts w:ascii="Arial" w:eastAsia="標楷體" w:hAnsi="Arial" w:cs="Arial"/>
          <w:color w:val="000000" w:themeColor="text1"/>
          <w:kern w:val="0"/>
          <w:szCs w:val="24"/>
        </w:rPr>
        <w:t xml:space="preserve"> ESG </w:t>
      </w:r>
      <w:r w:rsidRPr="002D59FA">
        <w:rPr>
          <w:rFonts w:ascii="Arial" w:eastAsia="標楷體" w:hAnsi="Arial" w:cs="Arial"/>
          <w:color w:val="000000" w:themeColor="text1"/>
          <w:kern w:val="0"/>
          <w:szCs w:val="24"/>
        </w:rPr>
        <w:t>議題納入</w:t>
      </w:r>
      <w:r w:rsidRPr="002D59FA">
        <w:rPr>
          <w:rFonts w:ascii="Arial" w:eastAsia="標楷體" w:hAnsi="Arial" w:cs="Arial"/>
          <w:color w:val="000000" w:themeColor="text1"/>
          <w:kern w:val="0"/>
          <w:szCs w:val="24"/>
        </w:rPr>
        <w:lastRenderedPageBreak/>
        <w:t>授信、投資與保險承保評估決策流程，並定期檢視</w:t>
      </w:r>
      <w:r w:rsidRPr="002D59FA">
        <w:rPr>
          <w:rFonts w:ascii="Arial" w:eastAsia="標楷體" w:hAnsi="Arial" w:cs="Arial"/>
          <w:color w:val="000000" w:themeColor="text1"/>
          <w:kern w:val="0"/>
          <w:szCs w:val="24"/>
        </w:rPr>
        <w:t>ESG</w:t>
      </w:r>
      <w:r w:rsidRPr="002D59FA">
        <w:rPr>
          <w:rFonts w:ascii="Arial" w:eastAsia="標楷體" w:hAnsi="Arial" w:cs="Arial"/>
          <w:color w:val="000000" w:themeColor="text1"/>
          <w:kern w:val="0"/>
          <w:szCs w:val="24"/>
        </w:rPr>
        <w:t>推動成效，培育永續經營人才，</w:t>
      </w:r>
      <w:proofErr w:type="gramStart"/>
      <w:r w:rsidRPr="002D59FA">
        <w:rPr>
          <w:rFonts w:ascii="Arial" w:eastAsia="標楷體" w:hAnsi="Arial" w:cs="Arial"/>
          <w:color w:val="000000" w:themeColor="text1"/>
          <w:kern w:val="0"/>
          <w:szCs w:val="24"/>
        </w:rPr>
        <w:t>深植永續</w:t>
      </w:r>
      <w:proofErr w:type="gramEnd"/>
      <w:r w:rsidRPr="002D59FA">
        <w:rPr>
          <w:rFonts w:ascii="Arial" w:eastAsia="標楷體" w:hAnsi="Arial" w:cs="Arial"/>
          <w:color w:val="000000" w:themeColor="text1"/>
          <w:kern w:val="0"/>
          <w:szCs w:val="24"/>
        </w:rPr>
        <w:t>企業文化，強化與各利害關係人對永續重大主題</w:t>
      </w:r>
      <w:proofErr w:type="gramStart"/>
      <w:r w:rsidRPr="002D59FA">
        <w:rPr>
          <w:rFonts w:ascii="Arial" w:eastAsia="標楷體" w:hAnsi="Arial" w:cs="Arial"/>
          <w:color w:val="000000" w:themeColor="text1"/>
          <w:kern w:val="0"/>
          <w:szCs w:val="24"/>
        </w:rPr>
        <w:t>之議</w:t>
      </w:r>
      <w:proofErr w:type="gramEnd"/>
      <w:r w:rsidRPr="002D59FA">
        <w:rPr>
          <w:rFonts w:ascii="Arial" w:eastAsia="標楷體" w:hAnsi="Arial" w:cs="Arial"/>
          <w:color w:val="000000" w:themeColor="text1"/>
          <w:kern w:val="0"/>
          <w:szCs w:val="24"/>
        </w:rPr>
        <w:t>合，提升</w:t>
      </w:r>
      <w:r w:rsidRPr="002D59FA">
        <w:rPr>
          <w:rFonts w:ascii="Arial" w:eastAsia="標楷體" w:hAnsi="Arial" w:cs="Arial"/>
          <w:color w:val="000000" w:themeColor="text1"/>
          <w:kern w:val="0"/>
          <w:szCs w:val="24"/>
        </w:rPr>
        <w:t>ESG</w:t>
      </w:r>
      <w:r w:rsidRPr="002D59FA">
        <w:rPr>
          <w:rFonts w:ascii="Arial" w:eastAsia="標楷體" w:hAnsi="Arial" w:cs="Arial"/>
          <w:color w:val="000000" w:themeColor="text1"/>
          <w:kern w:val="0"/>
          <w:szCs w:val="24"/>
        </w:rPr>
        <w:t>資訊揭露內容等。</w:t>
      </w:r>
    </w:p>
    <w:p w14:paraId="242DBB8F" w14:textId="77777777" w:rsidR="00C32189" w:rsidRPr="002D59FA" w:rsidRDefault="00C32189" w:rsidP="00C32189">
      <w:pPr>
        <w:autoSpaceDE w:val="0"/>
        <w:autoSpaceDN w:val="0"/>
        <w:adjustRightInd w:val="0"/>
        <w:spacing w:afterLines="50" w:after="180"/>
        <w:ind w:leftChars="500" w:left="120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本公司及子公司</w:t>
      </w:r>
      <w:proofErr w:type="gramStart"/>
      <w:r w:rsidRPr="002D59FA">
        <w:rPr>
          <w:rFonts w:ascii="Arial" w:eastAsia="標楷體" w:hAnsi="Arial" w:cs="Arial"/>
          <w:color w:val="000000" w:themeColor="text1"/>
          <w:kern w:val="0"/>
          <w:szCs w:val="24"/>
        </w:rPr>
        <w:t>對具</w:t>
      </w:r>
      <w:r w:rsidRPr="002D59FA">
        <w:rPr>
          <w:rFonts w:ascii="Arial" w:eastAsia="標楷體" w:hAnsi="Arial" w:cs="Arial" w:hint="eastAsia"/>
          <w:color w:val="000000" w:themeColor="text1"/>
          <w:kern w:val="0"/>
          <w:szCs w:val="24"/>
        </w:rPr>
        <w:t>永續</w:t>
      </w:r>
      <w:proofErr w:type="gramEnd"/>
      <w:r w:rsidRPr="002D59FA">
        <w:rPr>
          <w:rFonts w:ascii="Arial" w:eastAsia="標楷體" w:hAnsi="Arial" w:cs="Arial" w:hint="eastAsia"/>
          <w:color w:val="000000" w:themeColor="text1"/>
          <w:kern w:val="0"/>
          <w:szCs w:val="24"/>
        </w:rPr>
        <w:t>發展</w:t>
      </w:r>
      <w:r w:rsidRPr="002D59FA">
        <w:rPr>
          <w:rFonts w:ascii="Arial" w:eastAsia="標楷體" w:hAnsi="Arial" w:cs="Arial"/>
          <w:color w:val="000000" w:themeColor="text1"/>
          <w:kern w:val="0"/>
          <w:szCs w:val="24"/>
        </w:rPr>
        <w:t>爭議情事之客戶及供應商應辦理盡職調查與審慎評估，降低對</w:t>
      </w:r>
      <w:r w:rsidRPr="002D59FA">
        <w:rPr>
          <w:rFonts w:ascii="Arial" w:eastAsia="標楷體" w:hAnsi="Arial" w:cs="Arial"/>
          <w:color w:val="000000" w:themeColor="text1"/>
          <w:kern w:val="0"/>
          <w:szCs w:val="24"/>
        </w:rPr>
        <w:t xml:space="preserve"> ESG </w:t>
      </w:r>
      <w:r w:rsidRPr="002D59FA">
        <w:rPr>
          <w:rFonts w:ascii="Arial" w:eastAsia="標楷體" w:hAnsi="Arial" w:cs="Arial"/>
          <w:color w:val="000000" w:themeColor="text1"/>
          <w:kern w:val="0"/>
          <w:szCs w:val="24"/>
        </w:rPr>
        <w:t>及永續發展產生重大不利影響之風險。</w:t>
      </w:r>
    </w:p>
    <w:p w14:paraId="0981349E" w14:textId="77777777" w:rsidR="00C32189" w:rsidRPr="002D59FA" w:rsidRDefault="00C32189" w:rsidP="00C32189">
      <w:pPr>
        <w:autoSpaceDE w:val="0"/>
        <w:autoSpaceDN w:val="0"/>
        <w:adjustRightInd w:val="0"/>
        <w:ind w:leftChars="200" w:left="48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四</w:t>
      </w:r>
      <w:r w:rsidRPr="002D59FA">
        <w:rPr>
          <w:rFonts w:ascii="新細明體" w:eastAsia="新細明體" w:hAnsi="新細明體" w:cs="Arial" w:hint="eastAsia"/>
          <w:color w:val="000000" w:themeColor="text1"/>
          <w:kern w:val="0"/>
          <w:szCs w:val="24"/>
        </w:rPr>
        <w:t>、</w:t>
      </w:r>
      <w:r w:rsidRPr="002D59FA">
        <w:rPr>
          <w:rFonts w:ascii="Arial" w:eastAsia="標楷體" w:hAnsi="Arial" w:cs="Arial"/>
          <w:color w:val="000000" w:themeColor="text1"/>
          <w:kern w:val="0"/>
          <w:szCs w:val="24"/>
        </w:rPr>
        <w:t>風險管理</w:t>
      </w:r>
    </w:p>
    <w:p w14:paraId="3CCC58CE" w14:textId="77777777" w:rsidR="00C32189" w:rsidRPr="002D59FA" w:rsidRDefault="00C32189" w:rsidP="00C32189">
      <w:pPr>
        <w:autoSpaceDE w:val="0"/>
        <w:autoSpaceDN w:val="0"/>
        <w:adjustRightInd w:val="0"/>
        <w:spacing w:afterLines="50" w:after="180"/>
        <w:ind w:leftChars="500" w:left="120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本公司及子公司應循序漸進將氣候變遷</w:t>
      </w:r>
      <w:r w:rsidRPr="002D59FA">
        <w:rPr>
          <w:rFonts w:ascii="新細明體" w:eastAsia="新細明體" w:hAnsi="新細明體" w:cs="Arial" w:hint="eastAsia"/>
          <w:color w:val="000000" w:themeColor="text1"/>
          <w:kern w:val="0"/>
          <w:szCs w:val="24"/>
        </w:rPr>
        <w:t>、</w:t>
      </w:r>
      <w:r w:rsidRPr="002D59FA">
        <w:rPr>
          <w:rFonts w:ascii="Arial" w:eastAsia="標楷體" w:hAnsi="Arial" w:cs="Arial" w:hint="eastAsia"/>
          <w:color w:val="000000" w:themeColor="text1"/>
          <w:kern w:val="0"/>
          <w:szCs w:val="24"/>
        </w:rPr>
        <w:t>生物多樣性</w:t>
      </w:r>
      <w:r w:rsidRPr="002D59FA">
        <w:rPr>
          <w:rFonts w:ascii="Arial" w:eastAsia="標楷體" w:hAnsi="Arial" w:cs="Arial"/>
          <w:color w:val="000000" w:themeColor="text1"/>
          <w:kern w:val="0"/>
          <w:szCs w:val="24"/>
        </w:rPr>
        <w:t>及其他</w:t>
      </w:r>
      <w:r w:rsidRPr="002D59FA">
        <w:rPr>
          <w:rFonts w:ascii="Arial" w:eastAsia="標楷體" w:hAnsi="Arial" w:cs="Arial"/>
          <w:color w:val="000000" w:themeColor="text1"/>
          <w:kern w:val="0"/>
          <w:szCs w:val="24"/>
        </w:rPr>
        <w:t xml:space="preserve"> ESG </w:t>
      </w:r>
      <w:r w:rsidRPr="002D59FA">
        <w:rPr>
          <w:rFonts w:ascii="Arial" w:eastAsia="標楷體" w:hAnsi="Arial" w:cs="Arial"/>
          <w:color w:val="000000" w:themeColor="text1"/>
          <w:kern w:val="0"/>
          <w:szCs w:val="24"/>
        </w:rPr>
        <w:t>相關風險因素納入風險管理架構；辨識可能影響企業永續發展之風險，建立量化指標及目標，以衡量及監控風險程度，依風險胃納管理整體風險，並依既定風險管理流程提供營運及管理決策參考因應。</w:t>
      </w:r>
    </w:p>
    <w:p w14:paraId="0677B4A6" w14:textId="7053575A" w:rsidR="00C32189" w:rsidRPr="002D59FA" w:rsidRDefault="00C32189" w:rsidP="00C32189">
      <w:pPr>
        <w:autoSpaceDE w:val="0"/>
        <w:autoSpaceDN w:val="0"/>
        <w:adjustRightInd w:val="0"/>
        <w:ind w:leftChars="200" w:left="48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五</w:t>
      </w:r>
      <w:r w:rsidRPr="002D59FA">
        <w:rPr>
          <w:rFonts w:ascii="新細明體" w:eastAsia="新細明體" w:hAnsi="新細明體" w:cs="Arial" w:hint="eastAsia"/>
          <w:color w:val="000000" w:themeColor="text1"/>
          <w:kern w:val="0"/>
          <w:szCs w:val="24"/>
        </w:rPr>
        <w:t>、</w:t>
      </w:r>
      <w:r w:rsidRPr="002D59FA">
        <w:rPr>
          <w:rFonts w:ascii="Arial" w:eastAsia="標楷體" w:hAnsi="Arial" w:cs="Arial"/>
          <w:color w:val="000000" w:themeColor="text1"/>
          <w:kern w:val="0"/>
          <w:szCs w:val="24"/>
        </w:rPr>
        <w:t>永續價值</w:t>
      </w:r>
    </w:p>
    <w:p w14:paraId="395A07AA" w14:textId="77777777" w:rsidR="00C32189" w:rsidRPr="002D59FA" w:rsidRDefault="00C32189" w:rsidP="00C32189">
      <w:pPr>
        <w:autoSpaceDE w:val="0"/>
        <w:autoSpaceDN w:val="0"/>
        <w:adjustRightInd w:val="0"/>
        <w:spacing w:afterLines="50" w:after="180"/>
        <w:ind w:leftChars="500" w:left="120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本公司及子公司除應依據業務特性訂定納入</w:t>
      </w:r>
      <w:r w:rsidRPr="002D59FA">
        <w:rPr>
          <w:rFonts w:ascii="Arial" w:eastAsia="標楷體" w:hAnsi="Arial" w:cs="Arial"/>
          <w:color w:val="000000" w:themeColor="text1"/>
          <w:kern w:val="0"/>
          <w:szCs w:val="24"/>
        </w:rPr>
        <w:t>ESG / SDGs</w:t>
      </w:r>
      <w:r w:rsidRPr="002D59FA">
        <w:rPr>
          <w:rFonts w:ascii="Arial" w:eastAsia="標楷體" w:hAnsi="Arial" w:cs="Arial"/>
          <w:color w:val="000000" w:themeColor="text1"/>
          <w:kern w:val="0"/>
          <w:szCs w:val="24"/>
        </w:rPr>
        <w:t>考量之政策、管理辦法，於內部進行宣導、教育訓練及推行相關流程外，並應積極引領客戶、投資人及社會大眾，</w:t>
      </w:r>
      <w:proofErr w:type="gramStart"/>
      <w:r w:rsidRPr="002D59FA">
        <w:rPr>
          <w:rFonts w:ascii="Arial" w:eastAsia="標楷體" w:hAnsi="Arial" w:cs="Arial"/>
          <w:color w:val="000000" w:themeColor="text1"/>
          <w:kern w:val="0"/>
          <w:szCs w:val="24"/>
        </w:rPr>
        <w:t>共創永續</w:t>
      </w:r>
      <w:proofErr w:type="gramEnd"/>
      <w:r w:rsidRPr="002D59FA">
        <w:rPr>
          <w:rFonts w:ascii="Arial" w:eastAsia="標楷體" w:hAnsi="Arial" w:cs="Arial"/>
          <w:color w:val="000000" w:themeColor="text1"/>
          <w:kern w:val="0"/>
          <w:szCs w:val="24"/>
        </w:rPr>
        <w:t>價值。</w:t>
      </w:r>
    </w:p>
    <w:p w14:paraId="4DE4E9E9" w14:textId="77777777" w:rsidR="00C32189" w:rsidRPr="002D59FA" w:rsidRDefault="00C32189" w:rsidP="00C32189">
      <w:pPr>
        <w:pStyle w:val="Default"/>
        <w:rPr>
          <w:rFonts w:ascii="Arial" w:hAnsi="Arial" w:cs="Arial"/>
          <w:color w:val="000000" w:themeColor="text1"/>
        </w:rPr>
      </w:pPr>
      <w:r w:rsidRPr="002D59FA">
        <w:rPr>
          <w:rFonts w:ascii="Arial" w:hAnsi="Arial" w:cs="Arial"/>
          <w:color w:val="000000" w:themeColor="text1"/>
        </w:rPr>
        <w:t>第六條</w:t>
      </w:r>
      <w:r w:rsidRPr="002D59FA">
        <w:rPr>
          <w:rFonts w:ascii="Arial" w:hAnsi="Arial" w:cs="Arial"/>
          <w:color w:val="000000" w:themeColor="text1"/>
        </w:rPr>
        <w:t xml:space="preserve"> </w:t>
      </w:r>
      <w:r w:rsidRPr="002D59FA">
        <w:rPr>
          <w:rFonts w:ascii="Arial" w:hAnsi="Arial" w:cs="Arial" w:hint="eastAsia"/>
          <w:color w:val="000000" w:themeColor="text1"/>
        </w:rPr>
        <w:t>(</w:t>
      </w:r>
      <w:r w:rsidRPr="002D59FA">
        <w:rPr>
          <w:rFonts w:ascii="Arial" w:hAnsi="Arial" w:cs="Arial"/>
          <w:color w:val="000000" w:themeColor="text1"/>
        </w:rPr>
        <w:t>資訊揭露</w:t>
      </w:r>
      <w:r w:rsidRPr="002D59FA">
        <w:rPr>
          <w:rFonts w:ascii="Arial" w:hAnsi="Arial" w:cs="Arial" w:hint="eastAsia"/>
          <w:color w:val="000000" w:themeColor="text1"/>
        </w:rPr>
        <w:t>)</w:t>
      </w:r>
    </w:p>
    <w:p w14:paraId="61EE71B9" w14:textId="77777777" w:rsidR="00C32189" w:rsidRPr="002D59FA" w:rsidRDefault="00C32189" w:rsidP="00C32189">
      <w:pPr>
        <w:pStyle w:val="Default"/>
        <w:spacing w:afterLines="50" w:after="180"/>
        <w:ind w:left="480"/>
        <w:rPr>
          <w:rFonts w:ascii="Arial" w:hAnsi="Arial" w:cs="Arial"/>
          <w:color w:val="000000" w:themeColor="text1"/>
        </w:rPr>
      </w:pPr>
      <w:r w:rsidRPr="002D59FA">
        <w:rPr>
          <w:rFonts w:ascii="Arial" w:hAnsi="Arial" w:cs="Arial"/>
          <w:color w:val="000000" w:themeColor="text1"/>
        </w:rPr>
        <w:t>本政策推行成效，除依循適用之國際準則揭露於本公司永續報告書及對外網站外，亦將透過相關刊物及主管機關要求進行揭露。</w:t>
      </w:r>
    </w:p>
    <w:p w14:paraId="138DBD7F" w14:textId="77777777" w:rsidR="00C32189" w:rsidRPr="002D59FA" w:rsidRDefault="00C32189" w:rsidP="00C32189">
      <w:pPr>
        <w:autoSpaceDE w:val="0"/>
        <w:autoSpaceDN w:val="0"/>
        <w:adjustRightInd w:val="0"/>
        <w:ind w:left="840" w:hangingChars="350" w:hanging="840"/>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第七條</w:t>
      </w:r>
      <w:r w:rsidRPr="002D59FA">
        <w:rPr>
          <w:rFonts w:ascii="Arial" w:eastAsia="標楷體" w:hAnsi="Arial" w:cs="Arial"/>
          <w:color w:val="000000" w:themeColor="text1"/>
          <w:kern w:val="0"/>
          <w:szCs w:val="24"/>
        </w:rPr>
        <w:t xml:space="preserve"> </w:t>
      </w:r>
      <w:r w:rsidRPr="002D59FA">
        <w:rPr>
          <w:rFonts w:ascii="Arial" w:eastAsia="標楷體" w:hAnsi="Arial" w:cs="Arial" w:hint="eastAsia"/>
          <w:color w:val="000000" w:themeColor="text1"/>
          <w:kern w:val="0"/>
          <w:szCs w:val="24"/>
        </w:rPr>
        <w:t>(</w:t>
      </w:r>
      <w:r w:rsidRPr="002D59FA">
        <w:rPr>
          <w:rFonts w:ascii="Arial" w:eastAsia="標楷體" w:hAnsi="Arial" w:cs="Arial"/>
          <w:color w:val="000000" w:themeColor="text1"/>
          <w:kern w:val="0"/>
          <w:szCs w:val="24"/>
        </w:rPr>
        <w:t>其他事項</w:t>
      </w:r>
      <w:r w:rsidRPr="002D59FA">
        <w:rPr>
          <w:rFonts w:ascii="Arial" w:eastAsia="標楷體" w:hAnsi="Arial" w:cs="Arial" w:hint="eastAsia"/>
          <w:color w:val="000000" w:themeColor="text1"/>
          <w:kern w:val="0"/>
          <w:szCs w:val="24"/>
        </w:rPr>
        <w:t>)</w:t>
      </w:r>
    </w:p>
    <w:p w14:paraId="3FAB6B35" w14:textId="77777777" w:rsidR="00C32189" w:rsidRPr="002D59FA" w:rsidRDefault="00C32189" w:rsidP="00C32189">
      <w:pPr>
        <w:pStyle w:val="Default"/>
        <w:ind w:left="480"/>
        <w:rPr>
          <w:rFonts w:ascii="Arial" w:hAnsi="Arial" w:cs="Arial"/>
          <w:color w:val="000000" w:themeColor="text1"/>
        </w:rPr>
      </w:pPr>
      <w:r w:rsidRPr="002D59FA">
        <w:rPr>
          <w:rFonts w:ascii="Arial" w:hAnsi="Arial" w:cs="Arial"/>
          <w:color w:val="000000" w:themeColor="text1"/>
        </w:rPr>
        <w:t>本公司之子公司應訂定相關之永續金融規範，供其從屬公司遵循。</w:t>
      </w:r>
    </w:p>
    <w:p w14:paraId="2E3CA154" w14:textId="77777777" w:rsidR="00C32189" w:rsidRPr="002D59FA" w:rsidRDefault="00C32189" w:rsidP="00C32189">
      <w:pPr>
        <w:pStyle w:val="Default"/>
        <w:ind w:left="480"/>
        <w:rPr>
          <w:rFonts w:ascii="Arial" w:hAnsi="Arial" w:cs="Arial"/>
          <w:color w:val="000000" w:themeColor="text1"/>
        </w:rPr>
      </w:pPr>
      <w:r w:rsidRPr="002D59FA">
        <w:rPr>
          <w:rFonts w:ascii="Arial" w:hAnsi="Arial" w:cs="Arial"/>
          <w:color w:val="000000" w:themeColor="text1"/>
        </w:rPr>
        <w:t>前項之從屬公司，係指符合公司法第三百六十九條之二及第三百六十九條之三規定之企業。</w:t>
      </w:r>
    </w:p>
    <w:p w14:paraId="6705DB85" w14:textId="77777777" w:rsidR="00C32189" w:rsidRPr="002D59FA" w:rsidRDefault="00C32189" w:rsidP="00C32189">
      <w:pPr>
        <w:pStyle w:val="Default"/>
        <w:spacing w:afterLines="50" w:after="180"/>
        <w:ind w:left="480"/>
        <w:rPr>
          <w:rFonts w:ascii="Arial" w:hAnsi="Arial" w:cs="Arial"/>
          <w:color w:val="000000" w:themeColor="text1"/>
        </w:rPr>
      </w:pPr>
      <w:r w:rsidRPr="002D59FA">
        <w:rPr>
          <w:rFonts w:ascii="Arial" w:hAnsi="Arial" w:cs="Arial"/>
          <w:color w:val="000000" w:themeColor="text1"/>
        </w:rPr>
        <w:t>各子公司依據本政策</w:t>
      </w:r>
      <w:proofErr w:type="gramStart"/>
      <w:r w:rsidRPr="002D59FA">
        <w:rPr>
          <w:rFonts w:ascii="Arial" w:hAnsi="Arial" w:cs="Arial"/>
          <w:color w:val="000000" w:themeColor="text1"/>
        </w:rPr>
        <w:t>所訂永續</w:t>
      </w:r>
      <w:proofErr w:type="gramEnd"/>
      <w:r w:rsidRPr="002D59FA">
        <w:rPr>
          <w:rFonts w:ascii="Arial" w:hAnsi="Arial" w:cs="Arial"/>
          <w:color w:val="000000" w:themeColor="text1"/>
        </w:rPr>
        <w:t>金融相關管理規章辦法等，如核定層級屬董事會者，應於提報討論通過後，報本公司永續</w:t>
      </w:r>
      <w:r w:rsidRPr="002D59FA">
        <w:rPr>
          <w:rFonts w:ascii="Arial" w:hAnsi="Arial" w:cs="Arial" w:hint="eastAsia"/>
          <w:color w:val="000000" w:themeColor="text1"/>
        </w:rPr>
        <w:t>發展</w:t>
      </w:r>
      <w:r w:rsidRPr="002D59FA">
        <w:rPr>
          <w:rFonts w:ascii="Arial" w:hAnsi="Arial" w:cs="Arial"/>
          <w:color w:val="000000" w:themeColor="text1"/>
        </w:rPr>
        <w:t>委員會備查。</w:t>
      </w:r>
    </w:p>
    <w:p w14:paraId="66C36C82" w14:textId="77777777" w:rsidR="00C32189" w:rsidRPr="002D59FA" w:rsidRDefault="00C32189" w:rsidP="00C32189">
      <w:pPr>
        <w:kinsoku w:val="0"/>
        <w:overflowPunct w:val="0"/>
        <w:autoSpaceDE w:val="0"/>
        <w:autoSpaceDN w:val="0"/>
        <w:spacing w:line="340" w:lineRule="exact"/>
        <w:jc w:val="both"/>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第八條</w:t>
      </w:r>
      <w:r w:rsidRPr="002D59FA">
        <w:rPr>
          <w:rFonts w:ascii="Arial" w:eastAsia="標楷體" w:hAnsi="Arial" w:cs="Arial"/>
          <w:color w:val="000000" w:themeColor="text1"/>
          <w:kern w:val="0"/>
          <w:szCs w:val="24"/>
        </w:rPr>
        <w:t xml:space="preserve"> </w:t>
      </w:r>
      <w:r w:rsidRPr="002D59FA">
        <w:rPr>
          <w:rFonts w:ascii="Arial" w:eastAsia="標楷體" w:hAnsi="Arial" w:cs="Arial" w:hint="eastAsia"/>
          <w:color w:val="000000" w:themeColor="text1"/>
          <w:kern w:val="0"/>
          <w:szCs w:val="24"/>
        </w:rPr>
        <w:t>(</w:t>
      </w:r>
      <w:r w:rsidRPr="002D59FA">
        <w:rPr>
          <w:rFonts w:ascii="Arial" w:eastAsia="標楷體" w:hAnsi="Arial" w:cs="Arial"/>
          <w:color w:val="000000" w:themeColor="text1"/>
          <w:kern w:val="0"/>
          <w:szCs w:val="24"/>
        </w:rPr>
        <w:t>未盡事宜</w:t>
      </w:r>
      <w:r w:rsidRPr="002D59FA">
        <w:rPr>
          <w:rFonts w:ascii="Arial" w:eastAsia="標楷體" w:hAnsi="Arial" w:cs="Arial" w:hint="eastAsia"/>
          <w:color w:val="000000" w:themeColor="text1"/>
          <w:kern w:val="0"/>
          <w:szCs w:val="24"/>
        </w:rPr>
        <w:t>)</w:t>
      </w:r>
    </w:p>
    <w:p w14:paraId="7226A658" w14:textId="77777777" w:rsidR="00C32189" w:rsidRPr="002D59FA" w:rsidRDefault="00C32189" w:rsidP="00C32189">
      <w:pPr>
        <w:pStyle w:val="Default"/>
        <w:spacing w:afterLines="50" w:after="180"/>
        <w:ind w:left="480"/>
        <w:rPr>
          <w:rFonts w:ascii="Arial" w:hAnsi="Arial" w:cs="Arial"/>
          <w:color w:val="000000" w:themeColor="text1"/>
        </w:rPr>
      </w:pPr>
      <w:r w:rsidRPr="002D59FA">
        <w:rPr>
          <w:rFonts w:ascii="Arial" w:hAnsi="Arial" w:cs="Arial"/>
          <w:color w:val="000000" w:themeColor="text1"/>
        </w:rPr>
        <w:t>本政策如有未盡事宜，悉依有關法令及本公司相關規範辦理。</w:t>
      </w:r>
    </w:p>
    <w:p w14:paraId="4FC8661E" w14:textId="77777777" w:rsidR="00C32189" w:rsidRPr="002D59FA" w:rsidRDefault="00C32189" w:rsidP="00C32189">
      <w:pPr>
        <w:kinsoku w:val="0"/>
        <w:overflowPunct w:val="0"/>
        <w:autoSpaceDE w:val="0"/>
        <w:autoSpaceDN w:val="0"/>
        <w:spacing w:line="340" w:lineRule="exact"/>
        <w:jc w:val="both"/>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第九條</w:t>
      </w:r>
      <w:r w:rsidRPr="002D59FA">
        <w:rPr>
          <w:rFonts w:ascii="Arial" w:eastAsia="標楷體" w:hAnsi="Arial" w:cs="Arial"/>
          <w:color w:val="000000" w:themeColor="text1"/>
          <w:kern w:val="0"/>
          <w:szCs w:val="24"/>
        </w:rPr>
        <w:t xml:space="preserve"> </w:t>
      </w:r>
      <w:r w:rsidRPr="002D59FA">
        <w:rPr>
          <w:rFonts w:ascii="Arial" w:eastAsia="標楷體" w:hAnsi="Arial" w:cs="Arial" w:hint="eastAsia"/>
          <w:color w:val="000000" w:themeColor="text1"/>
          <w:kern w:val="0"/>
          <w:szCs w:val="24"/>
        </w:rPr>
        <w:t>(</w:t>
      </w:r>
      <w:r w:rsidRPr="002D59FA">
        <w:rPr>
          <w:rFonts w:ascii="Arial" w:eastAsia="標楷體" w:hAnsi="Arial" w:cs="Arial"/>
          <w:color w:val="000000" w:themeColor="text1"/>
          <w:kern w:val="0"/>
          <w:szCs w:val="24"/>
        </w:rPr>
        <w:t>核定層級</w:t>
      </w:r>
      <w:r w:rsidRPr="002D59FA">
        <w:rPr>
          <w:rFonts w:ascii="Arial" w:eastAsia="標楷體" w:hAnsi="Arial" w:cs="Arial" w:hint="eastAsia"/>
          <w:color w:val="000000" w:themeColor="text1"/>
          <w:kern w:val="0"/>
          <w:szCs w:val="24"/>
        </w:rPr>
        <w:t>)</w:t>
      </w:r>
    </w:p>
    <w:p w14:paraId="56027952" w14:textId="77777777" w:rsidR="00C32189" w:rsidRPr="002D59FA" w:rsidRDefault="00C32189" w:rsidP="00C32189">
      <w:pPr>
        <w:pStyle w:val="Default"/>
        <w:spacing w:afterLines="50" w:after="180"/>
        <w:ind w:left="480"/>
        <w:rPr>
          <w:rFonts w:ascii="Arial" w:hAnsi="Arial" w:cs="Arial"/>
          <w:color w:val="000000" w:themeColor="text1"/>
        </w:rPr>
      </w:pPr>
      <w:r w:rsidRPr="002D59FA">
        <w:rPr>
          <w:rFonts w:ascii="Arial" w:hAnsi="Arial" w:cs="Arial"/>
          <w:color w:val="000000" w:themeColor="text1"/>
        </w:rPr>
        <w:t>本政策經董事會通過後施行，修正或廢止時亦同。</w:t>
      </w:r>
    </w:p>
    <w:p w14:paraId="37F51243" w14:textId="77777777" w:rsidR="00C32189" w:rsidRPr="002D59FA" w:rsidRDefault="00C32189" w:rsidP="00C32189">
      <w:pPr>
        <w:kinsoku w:val="0"/>
        <w:overflowPunct w:val="0"/>
        <w:autoSpaceDE w:val="0"/>
        <w:autoSpaceDN w:val="0"/>
        <w:spacing w:line="340" w:lineRule="exact"/>
        <w:jc w:val="both"/>
        <w:rPr>
          <w:rFonts w:ascii="Arial" w:eastAsia="標楷體" w:hAnsi="Arial" w:cs="Arial"/>
          <w:color w:val="000000" w:themeColor="text1"/>
          <w:kern w:val="0"/>
          <w:szCs w:val="24"/>
        </w:rPr>
      </w:pPr>
      <w:r w:rsidRPr="002D59FA">
        <w:rPr>
          <w:rFonts w:ascii="Arial" w:eastAsia="標楷體" w:hAnsi="Arial" w:cs="Arial"/>
          <w:color w:val="000000" w:themeColor="text1"/>
          <w:kern w:val="0"/>
          <w:szCs w:val="24"/>
        </w:rPr>
        <w:t>第</w:t>
      </w:r>
      <w:r w:rsidRPr="002D59FA">
        <w:rPr>
          <w:rFonts w:ascii="Arial" w:eastAsia="標楷體" w:hAnsi="Arial" w:cs="Arial" w:hint="eastAsia"/>
          <w:color w:val="000000" w:themeColor="text1"/>
          <w:kern w:val="0"/>
          <w:szCs w:val="24"/>
        </w:rPr>
        <w:t>十</w:t>
      </w:r>
      <w:r w:rsidRPr="002D59FA">
        <w:rPr>
          <w:rFonts w:ascii="Arial" w:eastAsia="標楷體" w:hAnsi="Arial" w:cs="Arial"/>
          <w:color w:val="000000" w:themeColor="text1"/>
          <w:kern w:val="0"/>
          <w:szCs w:val="24"/>
        </w:rPr>
        <w:t>條</w:t>
      </w:r>
      <w:r w:rsidRPr="002D59FA">
        <w:rPr>
          <w:rFonts w:ascii="Arial" w:eastAsia="標楷體" w:hAnsi="Arial" w:cs="Arial"/>
          <w:color w:val="000000" w:themeColor="text1"/>
          <w:kern w:val="0"/>
          <w:szCs w:val="24"/>
        </w:rPr>
        <w:t xml:space="preserve"> </w:t>
      </w:r>
      <w:r w:rsidRPr="002D59FA">
        <w:rPr>
          <w:rFonts w:ascii="Arial" w:eastAsia="標楷體" w:hAnsi="Arial" w:cs="Arial" w:hint="eastAsia"/>
          <w:color w:val="000000" w:themeColor="text1"/>
          <w:kern w:val="0"/>
          <w:szCs w:val="24"/>
        </w:rPr>
        <w:t>(</w:t>
      </w:r>
      <w:r w:rsidRPr="002D59FA">
        <w:rPr>
          <w:rFonts w:ascii="Arial" w:eastAsia="標楷體" w:hAnsi="Arial" w:cs="Arial" w:hint="eastAsia"/>
          <w:color w:val="000000" w:themeColor="text1"/>
          <w:kern w:val="0"/>
          <w:szCs w:val="24"/>
        </w:rPr>
        <w:t>歷程</w:t>
      </w:r>
      <w:r w:rsidRPr="002D59FA">
        <w:rPr>
          <w:rFonts w:ascii="Arial" w:eastAsia="標楷體" w:hAnsi="Arial" w:cs="Arial" w:hint="eastAsia"/>
          <w:color w:val="000000" w:themeColor="text1"/>
          <w:kern w:val="0"/>
          <w:szCs w:val="24"/>
        </w:rPr>
        <w:t>)</w:t>
      </w:r>
    </w:p>
    <w:p w14:paraId="4FCA5527" w14:textId="4495A686" w:rsidR="00C32189" w:rsidRPr="002D59FA" w:rsidRDefault="00C32189" w:rsidP="00C32189">
      <w:pPr>
        <w:pStyle w:val="Default"/>
        <w:ind w:left="482"/>
        <w:rPr>
          <w:rFonts w:ascii="Arial" w:hAnsi="Arial" w:cs="Arial"/>
          <w:color w:val="000000" w:themeColor="text1"/>
          <w:sz w:val="20"/>
          <w:szCs w:val="20"/>
        </w:rPr>
      </w:pPr>
      <w:r w:rsidRPr="002D59FA">
        <w:rPr>
          <w:rFonts w:ascii="Arial" w:hAnsi="Arial" w:cs="Arial"/>
          <w:color w:val="000000" w:themeColor="text1"/>
        </w:rPr>
        <w:t>本政策</w:t>
      </w:r>
      <w:r w:rsidRPr="002D59FA">
        <w:rPr>
          <w:rFonts w:ascii="Arial" w:hAnsi="Arial" w:cs="Arial" w:hint="eastAsia"/>
          <w:color w:val="000000" w:themeColor="text1"/>
        </w:rPr>
        <w:t>訂定於民國</w:t>
      </w:r>
      <w:r w:rsidRPr="002D59FA">
        <w:rPr>
          <w:rFonts w:ascii="Arial" w:hAnsi="Arial" w:cs="Arial"/>
          <w:color w:val="000000" w:themeColor="text1"/>
        </w:rPr>
        <w:t>110</w:t>
      </w:r>
      <w:r w:rsidRPr="002D59FA">
        <w:rPr>
          <w:rFonts w:ascii="Arial" w:hAnsi="Arial" w:cs="Arial" w:hint="eastAsia"/>
          <w:color w:val="000000" w:themeColor="text1"/>
        </w:rPr>
        <w:t>年</w:t>
      </w:r>
      <w:r w:rsidRPr="002D59FA">
        <w:rPr>
          <w:rFonts w:ascii="Arial" w:hAnsi="Arial" w:cs="Arial"/>
          <w:color w:val="000000" w:themeColor="text1"/>
        </w:rPr>
        <w:t>3</w:t>
      </w:r>
      <w:r w:rsidRPr="002D59FA">
        <w:rPr>
          <w:rFonts w:ascii="Arial" w:hAnsi="Arial" w:cs="Arial" w:hint="eastAsia"/>
          <w:color w:val="000000" w:themeColor="text1"/>
        </w:rPr>
        <w:t>月</w:t>
      </w:r>
      <w:r w:rsidRPr="002D59FA">
        <w:rPr>
          <w:rFonts w:ascii="Arial" w:hAnsi="Arial" w:cs="Arial"/>
          <w:color w:val="000000" w:themeColor="text1"/>
        </w:rPr>
        <w:t>23</w:t>
      </w:r>
      <w:r w:rsidRPr="002D59FA">
        <w:rPr>
          <w:rFonts w:ascii="Arial" w:hAnsi="Arial" w:cs="Arial" w:hint="eastAsia"/>
          <w:color w:val="000000" w:themeColor="text1"/>
        </w:rPr>
        <w:t>日。第一次修正於民國</w:t>
      </w:r>
      <w:r w:rsidRPr="002D59FA">
        <w:rPr>
          <w:rFonts w:ascii="Arial" w:hAnsi="Arial" w:cs="Arial" w:hint="eastAsia"/>
          <w:color w:val="000000" w:themeColor="text1"/>
        </w:rPr>
        <w:t>111</w:t>
      </w:r>
      <w:r w:rsidRPr="002D59FA">
        <w:rPr>
          <w:rFonts w:ascii="Arial" w:hAnsi="Arial" w:cs="Arial" w:hint="eastAsia"/>
          <w:color w:val="000000" w:themeColor="text1"/>
        </w:rPr>
        <w:t>年</w:t>
      </w:r>
      <w:r w:rsidRPr="002D59FA">
        <w:rPr>
          <w:rFonts w:ascii="Arial" w:hAnsi="Arial" w:cs="Arial" w:hint="eastAsia"/>
          <w:color w:val="000000" w:themeColor="text1"/>
        </w:rPr>
        <w:t>6</w:t>
      </w:r>
      <w:r w:rsidRPr="002D59FA">
        <w:rPr>
          <w:rFonts w:ascii="Arial" w:hAnsi="Arial" w:cs="Arial" w:hint="eastAsia"/>
          <w:color w:val="000000" w:themeColor="text1"/>
        </w:rPr>
        <w:t>月</w:t>
      </w:r>
      <w:r w:rsidRPr="002D59FA">
        <w:rPr>
          <w:rFonts w:ascii="Arial" w:hAnsi="Arial" w:cs="Arial" w:hint="eastAsia"/>
          <w:color w:val="000000" w:themeColor="text1"/>
        </w:rPr>
        <w:t>28</w:t>
      </w:r>
      <w:r w:rsidRPr="002D59FA">
        <w:rPr>
          <w:rFonts w:ascii="Arial" w:hAnsi="Arial" w:cs="Arial" w:hint="eastAsia"/>
          <w:color w:val="000000" w:themeColor="text1"/>
        </w:rPr>
        <w:t>日。第二次修正於民國</w:t>
      </w:r>
      <w:r w:rsidR="002D59FA">
        <w:rPr>
          <w:rFonts w:ascii="Arial" w:hAnsi="Arial" w:cs="Arial"/>
          <w:color w:val="000000" w:themeColor="text1"/>
        </w:rPr>
        <w:t>112</w:t>
      </w:r>
      <w:r w:rsidRPr="002D59FA">
        <w:rPr>
          <w:rFonts w:ascii="Arial" w:hAnsi="Arial" w:cs="Arial" w:hint="eastAsia"/>
          <w:color w:val="000000" w:themeColor="text1"/>
        </w:rPr>
        <w:t>年</w:t>
      </w:r>
      <w:r w:rsidR="002D59FA">
        <w:rPr>
          <w:rFonts w:ascii="Arial" w:hAnsi="Arial" w:cs="Arial"/>
          <w:color w:val="000000" w:themeColor="text1"/>
        </w:rPr>
        <w:t>1</w:t>
      </w:r>
      <w:r w:rsidRPr="002D59FA">
        <w:rPr>
          <w:rFonts w:ascii="Arial" w:hAnsi="Arial" w:cs="Arial" w:hint="eastAsia"/>
          <w:color w:val="000000" w:themeColor="text1"/>
        </w:rPr>
        <w:t>月</w:t>
      </w:r>
      <w:r w:rsidR="002D59FA">
        <w:rPr>
          <w:rFonts w:ascii="Arial" w:hAnsi="Arial" w:cs="Arial"/>
          <w:color w:val="000000" w:themeColor="text1"/>
        </w:rPr>
        <w:t>31</w:t>
      </w:r>
      <w:r w:rsidRPr="002D59FA">
        <w:rPr>
          <w:rFonts w:ascii="Arial" w:hAnsi="Arial" w:cs="Arial" w:hint="eastAsia"/>
          <w:color w:val="000000" w:themeColor="text1"/>
        </w:rPr>
        <w:t>日。</w:t>
      </w:r>
    </w:p>
    <w:p w14:paraId="20319794" w14:textId="77777777" w:rsidR="00852F85" w:rsidRPr="00C32189" w:rsidRDefault="005C1913"/>
    <w:sectPr w:rsidR="00852F85" w:rsidRPr="00C32189" w:rsidSect="00B2331A">
      <w:pgSz w:w="11906" w:h="16838"/>
      <w:pgMar w:top="964" w:right="1474"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7656" w14:textId="77777777" w:rsidR="005C1913" w:rsidRDefault="005C1913" w:rsidP="002E2A11">
      <w:r>
        <w:separator/>
      </w:r>
    </w:p>
  </w:endnote>
  <w:endnote w:type="continuationSeparator" w:id="0">
    <w:p w14:paraId="6E543ADC" w14:textId="77777777" w:rsidR="005C1913" w:rsidRDefault="005C1913" w:rsidP="002E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5453" w14:textId="77777777" w:rsidR="005C1913" w:rsidRDefault="005C1913" w:rsidP="002E2A11">
      <w:r>
        <w:separator/>
      </w:r>
    </w:p>
  </w:footnote>
  <w:footnote w:type="continuationSeparator" w:id="0">
    <w:p w14:paraId="14A2EAEE" w14:textId="77777777" w:rsidR="005C1913" w:rsidRDefault="005C1913" w:rsidP="002E2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89"/>
    <w:rsid w:val="00012D9B"/>
    <w:rsid w:val="00057DE1"/>
    <w:rsid w:val="001F378C"/>
    <w:rsid w:val="00270077"/>
    <w:rsid w:val="002D59FA"/>
    <w:rsid w:val="002E2A11"/>
    <w:rsid w:val="003135A8"/>
    <w:rsid w:val="003C01D7"/>
    <w:rsid w:val="003E5AE5"/>
    <w:rsid w:val="004F1DB1"/>
    <w:rsid w:val="005315BA"/>
    <w:rsid w:val="0054361B"/>
    <w:rsid w:val="00585A77"/>
    <w:rsid w:val="005C1913"/>
    <w:rsid w:val="00676232"/>
    <w:rsid w:val="00994BCA"/>
    <w:rsid w:val="00A53A1A"/>
    <w:rsid w:val="00B301EC"/>
    <w:rsid w:val="00B76A48"/>
    <w:rsid w:val="00C32189"/>
    <w:rsid w:val="00C34776"/>
    <w:rsid w:val="00E44A04"/>
    <w:rsid w:val="00E574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7320"/>
  <w15:chartTrackingRefBased/>
  <w15:docId w15:val="{3707317F-AAD8-4568-8B9E-7B4630CA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189"/>
    <w:pPr>
      <w:widowControl w:val="0"/>
    </w:pPr>
  </w:style>
  <w:style w:type="paragraph" w:styleId="1">
    <w:name w:val="heading 1"/>
    <w:basedOn w:val="a"/>
    <w:link w:val="10"/>
    <w:uiPriority w:val="9"/>
    <w:qFormat/>
    <w:rsid w:val="00C32189"/>
    <w:pPr>
      <w:autoSpaceDE w:val="0"/>
      <w:autoSpaceDN w:val="0"/>
      <w:ind w:left="2772" w:right="2993"/>
      <w:jc w:val="center"/>
      <w:outlineLvl w:val="0"/>
    </w:pPr>
    <w:rPr>
      <w:rFonts w:ascii="微軟正黑體" w:eastAsia="微軟正黑體" w:hAnsi="微軟正黑體" w:cs="微軟正黑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32189"/>
    <w:rPr>
      <w:rFonts w:ascii="微軟正黑體" w:eastAsia="微軟正黑體" w:hAnsi="微軟正黑體" w:cs="微軟正黑體"/>
      <w:b/>
      <w:bCs/>
      <w:kern w:val="0"/>
      <w:sz w:val="32"/>
      <w:szCs w:val="32"/>
      <w:lang w:val="zh-TW" w:bidi="zh-TW"/>
    </w:rPr>
  </w:style>
  <w:style w:type="paragraph" w:customStyle="1" w:styleId="Default">
    <w:name w:val="Default"/>
    <w:rsid w:val="00C32189"/>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C32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2A11"/>
    <w:pPr>
      <w:tabs>
        <w:tab w:val="center" w:pos="4153"/>
        <w:tab w:val="right" w:pos="8306"/>
      </w:tabs>
      <w:snapToGrid w:val="0"/>
    </w:pPr>
    <w:rPr>
      <w:sz w:val="20"/>
      <w:szCs w:val="20"/>
    </w:rPr>
  </w:style>
  <w:style w:type="character" w:customStyle="1" w:styleId="a5">
    <w:name w:val="頁首 字元"/>
    <w:basedOn w:val="a0"/>
    <w:link w:val="a4"/>
    <w:uiPriority w:val="99"/>
    <w:rsid w:val="002E2A11"/>
    <w:rPr>
      <w:sz w:val="20"/>
      <w:szCs w:val="20"/>
    </w:rPr>
  </w:style>
  <w:style w:type="paragraph" w:styleId="a6">
    <w:name w:val="footer"/>
    <w:basedOn w:val="a"/>
    <w:link w:val="a7"/>
    <w:uiPriority w:val="99"/>
    <w:unhideWhenUsed/>
    <w:rsid w:val="002E2A11"/>
    <w:pPr>
      <w:tabs>
        <w:tab w:val="center" w:pos="4153"/>
        <w:tab w:val="right" w:pos="8306"/>
      </w:tabs>
      <w:snapToGrid w:val="0"/>
    </w:pPr>
    <w:rPr>
      <w:sz w:val="20"/>
      <w:szCs w:val="20"/>
    </w:rPr>
  </w:style>
  <w:style w:type="character" w:customStyle="1" w:styleId="a7">
    <w:name w:val="頁尾 字元"/>
    <w:basedOn w:val="a0"/>
    <w:link w:val="a6"/>
    <w:uiPriority w:val="99"/>
    <w:rsid w:val="002E2A11"/>
    <w:rPr>
      <w:sz w:val="20"/>
      <w:szCs w:val="20"/>
    </w:rPr>
  </w:style>
  <w:style w:type="paragraph" w:styleId="a8">
    <w:name w:val="Balloon Text"/>
    <w:basedOn w:val="a"/>
    <w:link w:val="a9"/>
    <w:uiPriority w:val="99"/>
    <w:semiHidden/>
    <w:unhideWhenUsed/>
    <w:rsid w:val="002E2A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2A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楊美雪(事業發展部,科長)</dc:creator>
  <cp:keywords/>
  <dc:description/>
  <cp:lastModifiedBy>楊美雪(事業發展部,科長)</cp:lastModifiedBy>
  <cp:revision>5</cp:revision>
  <cp:lastPrinted>2023-01-18T04:08:00Z</cp:lastPrinted>
  <dcterms:created xsi:type="dcterms:W3CDTF">2023-02-01T01:21:00Z</dcterms:created>
  <dcterms:modified xsi:type="dcterms:W3CDTF">2023-02-03T06:28:00Z</dcterms:modified>
</cp:coreProperties>
</file>