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1"/>
        <w:ind w:left="0" w:right="99" w:firstLine="0"/>
        <w:jc w:val="right"/>
        <w:rPr>
          <w:rFonts w:ascii="Calibri"/>
          <w:sz w:val="28"/>
        </w:rPr>
      </w:pPr>
      <w:r>
        <w:rPr>
          <w:rFonts w:ascii="Calibri"/>
          <w:sz w:val="28"/>
        </w:rPr>
        <w:t>51BB075</w:t>
      </w:r>
    </w:p>
    <w:p>
      <w:pPr>
        <w:pStyle w:val="BodyText"/>
        <w:rPr>
          <w:rFonts w:ascii="Calibri"/>
          <w:sz w:val="20"/>
        </w:rPr>
      </w:pPr>
    </w:p>
    <w:p>
      <w:pPr>
        <w:pStyle w:val="BodyText"/>
        <w:rPr>
          <w:rFonts w:ascii="Calibri"/>
          <w:sz w:val="20"/>
        </w:rPr>
      </w:pPr>
    </w:p>
    <w:p>
      <w:pPr>
        <w:pStyle w:val="BodyText"/>
        <w:spacing w:before="1"/>
        <w:rPr>
          <w:rFonts w:ascii="Calibri"/>
          <w:sz w:val="19"/>
        </w:rPr>
      </w:pPr>
    </w:p>
    <w:p>
      <w:pPr>
        <w:spacing w:before="36"/>
        <w:ind w:left="692" w:right="0" w:firstLine="0"/>
        <w:jc w:val="left"/>
        <w:rPr>
          <w:sz w:val="32"/>
        </w:rPr>
      </w:pPr>
      <w:r>
        <w:rPr>
          <w:sz w:val="32"/>
        </w:rPr>
        <w:t>兆豐金融控股股份有限公司誠信經營委員會組織規程</w:t>
      </w:r>
    </w:p>
    <w:p>
      <w:pPr>
        <w:spacing w:before="204"/>
        <w:ind w:left="0" w:right="360" w:firstLine="0"/>
        <w:jc w:val="right"/>
        <w:rPr>
          <w:sz w:val="16"/>
        </w:rPr>
      </w:pPr>
      <w:r>
        <w:rPr>
          <w:rFonts w:ascii="Arial" w:eastAsia="Arial"/>
          <w:sz w:val="16"/>
        </w:rPr>
        <w:t>109.3.24 </w:t>
      </w:r>
      <w:r>
        <w:rPr>
          <w:sz w:val="16"/>
        </w:rPr>
        <w:t>第七屆董事會第 </w:t>
      </w:r>
      <w:r>
        <w:rPr>
          <w:rFonts w:ascii="Arial" w:eastAsia="Arial"/>
          <w:sz w:val="16"/>
        </w:rPr>
        <w:t>22 </w:t>
      </w:r>
      <w:r>
        <w:rPr>
          <w:sz w:val="16"/>
        </w:rPr>
        <w:t>次會議訂定</w:t>
      </w:r>
    </w:p>
    <w:p>
      <w:pPr>
        <w:spacing w:before="136"/>
        <w:ind w:left="0" w:right="283" w:firstLine="0"/>
        <w:jc w:val="right"/>
        <w:rPr>
          <w:sz w:val="16"/>
        </w:rPr>
      </w:pPr>
      <w:r>
        <w:rPr>
          <w:sz w:val="16"/>
        </w:rPr>
        <w:t>109.10.27 第七屆董事會第 29 次會議授權自 110.1.1 生效</w:t>
      </w:r>
    </w:p>
    <w:p>
      <w:pPr>
        <w:pStyle w:val="BodyText"/>
        <w:rPr>
          <w:sz w:val="16"/>
        </w:rPr>
      </w:pPr>
    </w:p>
    <w:p>
      <w:pPr>
        <w:pStyle w:val="BodyText"/>
        <w:spacing w:before="13"/>
        <w:rPr>
          <w:sz w:val="14"/>
        </w:rPr>
      </w:pPr>
    </w:p>
    <w:p>
      <w:pPr>
        <w:pStyle w:val="BodyText"/>
        <w:spacing w:before="1"/>
        <w:ind w:left="220"/>
        <w:jc w:val="both"/>
      </w:pPr>
      <w:r>
        <w:rPr>
          <w:position w:val="1"/>
        </w:rPr>
        <w:t>第一條 </w:t>
      </w:r>
      <w:r>
        <w:rPr/>
        <w:t>(訂定依據)</w:t>
      </w:r>
    </w:p>
    <w:p>
      <w:pPr>
        <w:pStyle w:val="BodyText"/>
        <w:spacing w:line="256" w:lineRule="auto" w:before="19"/>
        <w:ind w:left="1060" w:right="204"/>
        <w:jc w:val="both"/>
      </w:pPr>
      <w:r>
        <w:rPr/>
        <w:t>為健全誠信經營之管理，爰依據本公司章程第十九條之二及誠信經營守則第二十條第二項訂定本公司誠信經營委員會(以下簡稱「本委員會」) 組織規程(以下簡稱本規程)，以利遵循。</w:t>
      </w:r>
    </w:p>
    <w:p>
      <w:pPr>
        <w:pStyle w:val="BodyText"/>
        <w:spacing w:before="5"/>
        <w:rPr>
          <w:sz w:val="23"/>
        </w:rPr>
      </w:pPr>
    </w:p>
    <w:p>
      <w:pPr>
        <w:pStyle w:val="BodyText"/>
        <w:spacing w:line="334" w:lineRule="exact"/>
        <w:ind w:left="232"/>
      </w:pPr>
      <w:r>
        <w:rPr>
          <w:position w:val="1"/>
        </w:rPr>
        <w:t>第二條 </w:t>
      </w:r>
      <w:r>
        <w:rPr/>
        <w:t>(權責</w:t>
      </w:r>
      <w:r>
        <w:rPr>
          <w:position w:val="1"/>
        </w:rPr>
        <w:t>單位</w:t>
      </w:r>
      <w:r>
        <w:rPr/>
        <w:t>)</w:t>
      </w:r>
    </w:p>
    <w:p>
      <w:pPr>
        <w:pStyle w:val="BodyText"/>
        <w:spacing w:line="313" w:lineRule="exact"/>
        <w:ind w:left="1072"/>
      </w:pPr>
      <w:r>
        <w:rPr/>
        <w:t>本規程之權責單位為行政管理部。</w:t>
      </w:r>
    </w:p>
    <w:p>
      <w:pPr>
        <w:pStyle w:val="BodyText"/>
        <w:spacing w:line="256" w:lineRule="auto"/>
        <w:ind w:left="1180" w:right="204" w:hanging="120"/>
      </w:pPr>
      <w:r>
        <w:rPr/>
        <w:t>本委員會之會務單位為行政管理部，負責協助委員會議程規劃、召集通知、議事進行、會議紀錄及其他相關事宜。</w:t>
      </w:r>
    </w:p>
    <w:p>
      <w:pPr>
        <w:pStyle w:val="BodyText"/>
        <w:spacing w:before="9"/>
        <w:rPr>
          <w:sz w:val="27"/>
        </w:rPr>
      </w:pPr>
    </w:p>
    <w:p>
      <w:pPr>
        <w:pStyle w:val="BodyText"/>
        <w:ind w:left="220"/>
      </w:pPr>
      <w:r>
        <w:rPr/>
        <w:t>第三條 (成員、人數及任期)</w:t>
      </w:r>
    </w:p>
    <w:p>
      <w:pPr>
        <w:pStyle w:val="BodyText"/>
        <w:spacing w:line="256" w:lineRule="auto" w:before="25"/>
        <w:ind w:left="1060" w:right="204"/>
      </w:pPr>
      <w:r>
        <w:rPr>
          <w:spacing w:val="-1"/>
        </w:rPr>
        <w:t>本委員會由三名成員組成，其中應至少包含獨立董事二人，皆由董事會</w:t>
      </w:r>
      <w:r>
        <w:rPr/>
        <w:t>決議委任之，任期與委任之董事會任期相同。</w:t>
      </w:r>
    </w:p>
    <w:p>
      <w:pPr>
        <w:pStyle w:val="BodyText"/>
        <w:spacing w:line="330" w:lineRule="exact" w:before="1"/>
        <w:ind w:left="1060"/>
      </w:pPr>
      <w:r>
        <w:rPr/>
        <w:t>本委員會召集人由全體成員推舉一人擔任之。</w:t>
      </w:r>
    </w:p>
    <w:p>
      <w:pPr>
        <w:pStyle w:val="BodyText"/>
        <w:spacing w:line="330" w:lineRule="exact"/>
        <w:ind w:left="1060"/>
      </w:pPr>
      <w:r>
        <w:rPr/>
        <w:t>本委員會成員因故解任，致人數不足三人時，應由董事會補行委任。</w:t>
      </w:r>
    </w:p>
    <w:p>
      <w:pPr>
        <w:pStyle w:val="BodyText"/>
        <w:spacing w:before="2"/>
        <w:rPr>
          <w:sz w:val="27"/>
        </w:rPr>
      </w:pPr>
    </w:p>
    <w:p>
      <w:pPr>
        <w:pStyle w:val="BodyText"/>
        <w:ind w:left="220"/>
      </w:pPr>
      <w:r>
        <w:rPr>
          <w:position w:val="1"/>
        </w:rPr>
        <w:t>第四條 </w:t>
      </w:r>
      <w:r>
        <w:rPr/>
        <w:t>(職權範圍)</w:t>
      </w:r>
    </w:p>
    <w:p>
      <w:pPr>
        <w:pStyle w:val="BodyText"/>
        <w:spacing w:line="256" w:lineRule="auto" w:before="20"/>
        <w:ind w:left="1060" w:right="204"/>
      </w:pPr>
      <w:r>
        <w:rPr/>
        <w:t>本委員會負責誠信經營政策之審定及監督執行下列事項，並定期向董事會報告遵循情形：</w:t>
      </w:r>
    </w:p>
    <w:p>
      <w:pPr>
        <w:pStyle w:val="BodyText"/>
        <w:spacing w:before="1"/>
        <w:ind w:left="1060"/>
      </w:pPr>
      <w:r>
        <w:rPr/>
        <w:t>一、協助將誠信與道德價值融入公司經營策略。</w:t>
      </w:r>
    </w:p>
    <w:p>
      <w:pPr>
        <w:pStyle w:val="BodyText"/>
        <w:spacing w:line="256" w:lineRule="auto" w:before="25"/>
        <w:ind w:left="1060" w:right="1884"/>
      </w:pPr>
      <w:r>
        <w:rPr/>
        <w:t>二、配合法令制度訂定確保誠信經營之相關防弊措施。三、審視檢舉制度並確保執行之有效性。</w:t>
      </w:r>
    </w:p>
    <w:p>
      <w:pPr>
        <w:pStyle w:val="BodyText"/>
        <w:spacing w:before="2"/>
        <w:ind w:left="1060"/>
      </w:pPr>
      <w:r>
        <w:rPr/>
        <w:t>四、誠信政策宣導訓練之推動及協調。</w:t>
      </w:r>
    </w:p>
    <w:p>
      <w:pPr>
        <w:pStyle w:val="BodyText"/>
        <w:spacing w:before="24"/>
        <w:ind w:left="1060"/>
      </w:pPr>
      <w:r>
        <w:rPr/>
        <w:t>五、其他與誠信經營政策制定與監督執行相關之事項。</w:t>
      </w:r>
    </w:p>
    <w:p>
      <w:pPr>
        <w:pStyle w:val="BodyText"/>
        <w:spacing w:before="11"/>
        <w:rPr>
          <w:sz w:val="27"/>
        </w:rPr>
      </w:pPr>
    </w:p>
    <w:p>
      <w:pPr>
        <w:pStyle w:val="BodyText"/>
        <w:spacing w:line="327" w:lineRule="exact"/>
        <w:ind w:left="232"/>
      </w:pPr>
      <w:r>
        <w:rPr/>
        <w:t>第五條 (會議召集及通知）</w:t>
      </w:r>
    </w:p>
    <w:p>
      <w:pPr>
        <w:pStyle w:val="BodyText"/>
        <w:spacing w:line="320" w:lineRule="exact"/>
        <w:ind w:left="1072"/>
      </w:pPr>
      <w:r>
        <w:rPr/>
        <w:t>本委員會每年應至少召開一次，並得視需要隨時召開會議。</w:t>
      </w:r>
    </w:p>
    <w:p>
      <w:pPr>
        <w:pStyle w:val="BodyText"/>
        <w:ind w:left="1060" w:right="180" w:firstLine="12"/>
      </w:pPr>
      <w:r>
        <w:rPr/>
        <w:t>本委員會之召集，應載明召集事由，由召集人召集並擔任會議主席。 召集人請假或因故不能召集會議，由其指定本委員會之其他成員代理 之；召集人未指定代理人者，由本委員會之其他成員推舉一人代理之。</w:t>
      </w:r>
      <w:r>
        <w:rPr>
          <w:spacing w:val="-15"/>
        </w:rPr>
        <w:t>本委員會得邀請董事、公司相關部門經理人員、內部稽核人員、會計師、</w:t>
      </w:r>
      <w:r>
        <w:rPr/>
        <w:t>法律顧問或其他人員列席會議並提供相關必要之資訊，但討論及表決時應離席。</w:t>
      </w:r>
    </w:p>
    <w:p>
      <w:pPr>
        <w:spacing w:after="0"/>
        <w:sectPr>
          <w:footerReference w:type="default" r:id="rId5"/>
          <w:type w:val="continuous"/>
          <w:pgSz w:w="11910" w:h="16840"/>
          <w:pgMar w:footer="1241" w:top="440" w:bottom="1440" w:left="1580" w:right="1620"/>
          <w:pgNumType w:start="1"/>
        </w:sectPr>
      </w:pPr>
    </w:p>
    <w:p>
      <w:pPr>
        <w:pStyle w:val="BodyText"/>
        <w:spacing w:before="33"/>
        <w:ind w:left="220"/>
      </w:pPr>
      <w:r>
        <w:rPr/>
        <w:t>第六條 (會議召開及決議方法）</w:t>
      </w:r>
    </w:p>
    <w:p>
      <w:pPr>
        <w:pStyle w:val="BodyText"/>
        <w:spacing w:line="327" w:lineRule="exact" w:before="29"/>
        <w:ind w:left="1072"/>
      </w:pPr>
      <w:r>
        <w:rPr/>
        <w:t>本委員會召開時，除以視訊會議召開者外，應設簽名簿供出席成員簽到</w:t>
      </w:r>
    </w:p>
    <w:p>
      <w:pPr>
        <w:pStyle w:val="BodyText"/>
        <w:spacing w:line="320" w:lineRule="exact"/>
        <w:ind w:left="1072"/>
      </w:pPr>
      <w:r>
        <w:rPr/>
        <w:t>，以供查考。</w:t>
      </w:r>
    </w:p>
    <w:p>
      <w:pPr>
        <w:pStyle w:val="BodyText"/>
        <w:spacing w:line="320" w:lineRule="exact"/>
        <w:ind w:left="1072"/>
      </w:pPr>
      <w:r>
        <w:rPr/>
        <w:t>本委員會之成員應親自出席委員會，如不能親自出席，得於每次會議時</w:t>
      </w:r>
    </w:p>
    <w:p>
      <w:pPr>
        <w:pStyle w:val="BodyText"/>
        <w:spacing w:line="242" w:lineRule="auto"/>
        <w:ind w:left="1060" w:right="179" w:firstLine="12"/>
        <w:jc w:val="both"/>
      </w:pPr>
      <w:r>
        <w:rPr/>
        <w:t>，出具委託書，列舉召集事由之授權範圍，委託其他成員代理出席，但每一成員以受一人之委託為限。如以視訊參與會議者，視為親自出席。本委員會為決議時，應有全體成員二分之一以上同意。表決時如經本委</w:t>
      </w:r>
      <w:r>
        <w:rPr>
          <w:spacing w:val="-14"/>
        </w:rPr>
        <w:t>員會主席徵詢無異議者，視為通過，其效力與投票表決同。表決之結果， </w:t>
      </w:r>
      <w:r>
        <w:rPr/>
        <w:t>應當場報告，並作成紀錄。</w:t>
      </w:r>
    </w:p>
    <w:p>
      <w:pPr>
        <w:pStyle w:val="BodyText"/>
        <w:spacing w:before="10"/>
        <w:rPr>
          <w:sz w:val="26"/>
        </w:rPr>
      </w:pPr>
    </w:p>
    <w:p>
      <w:pPr>
        <w:pStyle w:val="BodyText"/>
        <w:ind w:left="220"/>
        <w:jc w:val="both"/>
      </w:pPr>
      <w:r>
        <w:rPr/>
        <w:t>第七條 (利益迴避)</w:t>
      </w:r>
    </w:p>
    <w:p>
      <w:pPr>
        <w:pStyle w:val="BodyText"/>
        <w:spacing w:line="228" w:lineRule="auto" w:before="41"/>
        <w:ind w:left="1072" w:right="192"/>
        <w:jc w:val="both"/>
      </w:pPr>
      <w:r>
        <w:rPr/>
        <w:t>本委員會之成員對於會議事項，與其自身有利害關係，致有害於公司利益之虞者，不得加入討論及表決，且討論及表決時應予迴避，並不得代理其他委員會成員行使其表決權。</w:t>
      </w:r>
    </w:p>
    <w:p>
      <w:pPr>
        <w:pStyle w:val="BodyText"/>
        <w:spacing w:line="322" w:lineRule="exact"/>
        <w:ind w:left="1060"/>
      </w:pPr>
      <w:r>
        <w:rPr>
          <w:spacing w:val="-15"/>
        </w:rPr>
        <w:t>因前項規定，致委員會無法決議者，應向董事會報告，由董事會為決議。</w:t>
      </w:r>
    </w:p>
    <w:p>
      <w:pPr>
        <w:pStyle w:val="BodyText"/>
        <w:spacing w:before="7"/>
        <w:rPr>
          <w:sz w:val="27"/>
        </w:rPr>
      </w:pPr>
    </w:p>
    <w:p>
      <w:pPr>
        <w:pStyle w:val="BodyText"/>
        <w:ind w:left="220"/>
      </w:pPr>
      <w:r>
        <w:rPr/>
        <w:t>第八條 (議事錄應記載事項、分發及保存事宜)</w:t>
      </w:r>
    </w:p>
    <w:p>
      <w:pPr>
        <w:pStyle w:val="BodyText"/>
        <w:spacing w:line="228" w:lineRule="auto" w:before="41"/>
        <w:ind w:left="1072" w:right="912"/>
      </w:pPr>
      <w:r>
        <w:rPr/>
        <w:t>本委員會之議事，應作成議事錄，議事錄應詳實記載下列事項： 一、會議屆次及時間地點。</w:t>
      </w:r>
    </w:p>
    <w:p>
      <w:pPr>
        <w:pStyle w:val="BodyText"/>
        <w:spacing w:line="317" w:lineRule="exact"/>
        <w:ind w:left="1072"/>
      </w:pPr>
      <w:r>
        <w:rPr/>
        <w:t>二、主席之姓名。</w:t>
      </w:r>
    </w:p>
    <w:p>
      <w:pPr>
        <w:pStyle w:val="BodyText"/>
        <w:spacing w:line="228" w:lineRule="auto" w:before="5"/>
        <w:ind w:left="1072" w:right="432"/>
      </w:pPr>
      <w:r>
        <w:rPr/>
        <w:t>三、委員會成員出席狀況，包括出席、請假及缺席者之姓名與人數。四、列席者之姓名及職稱。</w:t>
      </w:r>
    </w:p>
    <w:p>
      <w:pPr>
        <w:pStyle w:val="BodyText"/>
        <w:spacing w:line="230" w:lineRule="auto"/>
        <w:ind w:left="1072" w:right="5712"/>
      </w:pPr>
      <w:r>
        <w:rPr/>
        <w:t>五、記錄之姓名。六、報告事項。</w:t>
      </w:r>
    </w:p>
    <w:p>
      <w:pPr>
        <w:pStyle w:val="BodyText"/>
        <w:spacing w:line="228" w:lineRule="auto"/>
        <w:ind w:left="1552" w:right="192" w:hanging="480"/>
        <w:jc w:val="both"/>
      </w:pPr>
      <w:r>
        <w:rPr/>
        <w:t>七、討論事項：各議案之決議方法與結果、依前條第一項規定涉及自身利害關係之委員會成員姓名、利害關係重要內容之說明、其應迴避或不迴避理由、迴避情形及委員會成員之反對或保留意見。</w:t>
      </w:r>
    </w:p>
    <w:p>
      <w:pPr>
        <w:pStyle w:val="BodyText"/>
        <w:spacing w:line="228" w:lineRule="auto"/>
        <w:ind w:left="1552" w:right="149" w:hanging="480"/>
        <w:jc w:val="both"/>
      </w:pPr>
      <w:r>
        <w:rPr/>
        <w:t>八、臨時動議：提案人姓名、議案之決議方法與結果、委員會委員、專家及其他人員發言摘要、依前條第一項規定涉及自身利害關係之委</w:t>
      </w:r>
      <w:r>
        <w:rPr>
          <w:spacing w:val="-16"/>
        </w:rPr>
        <w:t>員會成員姓名、利害關係重要內容之說明、其應迴避或不迴避理由、</w:t>
      </w:r>
      <w:r>
        <w:rPr/>
        <w:t>迴避情形及委員會成員反對或保留意見。</w:t>
      </w:r>
    </w:p>
    <w:p>
      <w:pPr>
        <w:pStyle w:val="BodyText"/>
        <w:spacing w:line="320" w:lineRule="exact"/>
        <w:ind w:left="1072"/>
      </w:pPr>
      <w:r>
        <w:rPr/>
        <w:t>九、其他應記載事項。</w:t>
      </w:r>
    </w:p>
    <w:p>
      <w:pPr>
        <w:pStyle w:val="BodyText"/>
        <w:spacing w:line="228" w:lineRule="auto" w:before="5"/>
        <w:ind w:left="1072" w:right="192"/>
      </w:pPr>
      <w:r>
        <w:rPr/>
        <w:t>本委員會簽到簿為議事錄之一部分。如以視訊會議召開者，其視訊影音資料為議事錄之一部分。</w:t>
      </w:r>
    </w:p>
    <w:p>
      <w:pPr>
        <w:pStyle w:val="BodyText"/>
        <w:spacing w:line="228" w:lineRule="auto" w:before="1"/>
        <w:ind w:left="1072" w:right="192"/>
        <w:jc w:val="both"/>
      </w:pPr>
      <w:r>
        <w:rPr/>
        <w:t>議事錄須由會議主席及記錄人員簽名或蓋章，於會後二十日內分送本委員會成員，並應呈報董事會及列入公司重要檔案，至少保存五年。議事錄之製作及分發，得以電子方式為之。</w:t>
      </w:r>
    </w:p>
    <w:p>
      <w:pPr>
        <w:pStyle w:val="BodyText"/>
        <w:spacing w:line="230" w:lineRule="auto" w:before="1"/>
        <w:ind w:left="1072" w:right="192"/>
      </w:pPr>
      <w:r>
        <w:rPr/>
        <w:t>若前項議事錄保存期限未屆滿前，發生與本委員會相關事項之訴訟時， 應保存至訴訟終結為止。</w:t>
      </w:r>
    </w:p>
    <w:p>
      <w:pPr>
        <w:pStyle w:val="BodyText"/>
        <w:spacing w:before="6"/>
      </w:pPr>
    </w:p>
    <w:p>
      <w:pPr>
        <w:pStyle w:val="BodyText"/>
        <w:spacing w:before="1"/>
        <w:ind w:left="220"/>
      </w:pPr>
      <w:r>
        <w:rPr/>
        <w:t>第九條 (必要資源之提供)</w:t>
      </w:r>
    </w:p>
    <w:p>
      <w:pPr>
        <w:pStyle w:val="BodyText"/>
        <w:spacing w:before="24"/>
        <w:ind w:left="1060"/>
      </w:pPr>
      <w:r>
        <w:rPr/>
        <w:t>本委員會得經決議委任律師、會計師或其他專業人員，就行使職權有關</w:t>
      </w:r>
    </w:p>
    <w:p>
      <w:pPr>
        <w:spacing w:after="0"/>
        <w:sectPr>
          <w:pgSz w:w="11910" w:h="16840"/>
          <w:pgMar w:header="0" w:footer="1241" w:top="1400" w:bottom="1440" w:left="1580" w:right="1620"/>
        </w:sectPr>
      </w:pPr>
    </w:p>
    <w:p>
      <w:pPr>
        <w:pStyle w:val="BodyText"/>
        <w:spacing w:line="256" w:lineRule="auto" w:before="33"/>
        <w:ind w:left="220" w:right="1884" w:firstLine="840"/>
        <w:jc w:val="both"/>
      </w:pPr>
      <w:r>
        <w:rPr/>
        <w:t>之事項為必要之查核或提供諮詢，其費用由公司負擔。第十條 (會議決議之執行)</w:t>
      </w:r>
    </w:p>
    <w:p>
      <w:pPr>
        <w:pStyle w:val="BodyText"/>
        <w:spacing w:line="256" w:lineRule="auto" w:before="2"/>
        <w:ind w:left="1060" w:right="204"/>
        <w:jc w:val="both"/>
      </w:pPr>
      <w:r>
        <w:rPr/>
        <w:t>經本委員會決議之事項，其相關執行工作，得授權召集人或本委員會其他成員續行辦理，並於執行期間向本委員會為書面報告，必要時應於下一次會議提報委員會追認或報告。</w:t>
      </w:r>
    </w:p>
    <w:p>
      <w:pPr>
        <w:pStyle w:val="BodyText"/>
        <w:spacing w:before="4"/>
        <w:rPr>
          <w:sz w:val="26"/>
        </w:rPr>
      </w:pPr>
    </w:p>
    <w:p>
      <w:pPr>
        <w:pStyle w:val="BodyText"/>
        <w:spacing w:line="325" w:lineRule="exact"/>
        <w:ind w:left="111"/>
      </w:pPr>
      <w:r>
        <w:rPr/>
        <w:t>第十一條(未盡事宜)</w:t>
      </w:r>
    </w:p>
    <w:p>
      <w:pPr>
        <w:pStyle w:val="BodyText"/>
        <w:spacing w:line="256" w:lineRule="auto"/>
        <w:ind w:left="1060" w:right="444"/>
      </w:pPr>
      <w:r>
        <w:rPr/>
        <w:t>本規程未盡事宜悉依主管機關相關法令及本公司其他相關規章規定辦理。</w:t>
      </w:r>
    </w:p>
    <w:p>
      <w:pPr>
        <w:pStyle w:val="BodyText"/>
        <w:spacing w:before="6"/>
        <w:rPr>
          <w:sz w:val="25"/>
        </w:rPr>
      </w:pPr>
    </w:p>
    <w:p>
      <w:pPr>
        <w:pStyle w:val="BodyText"/>
        <w:spacing w:line="329" w:lineRule="exact"/>
        <w:ind w:left="111"/>
      </w:pPr>
      <w:r>
        <w:rPr/>
        <w:t>第十二條(施行)</w:t>
      </w:r>
    </w:p>
    <w:p>
      <w:pPr>
        <w:pStyle w:val="BodyText"/>
        <w:spacing w:line="329" w:lineRule="exact"/>
        <w:ind w:left="1072"/>
      </w:pPr>
      <w:r>
        <w:rPr/>
        <w:t>本規程經董事會通過後施行，修正或廢止時亦同。</w:t>
      </w:r>
    </w:p>
    <w:sectPr>
      <w:pgSz w:w="11910" w:h="16840"/>
      <w:pgMar w:header="0" w:footer="1241" w:top="1400" w:bottom="1440" w:left="15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079987pt;margin-top:768.889954pt;width:11.05pt;height:12pt;mso-position-horizontal-relative:page;mso-position-vertical-relative:page;z-index:-251758592" type="#_x0000_t202" filled="false" stroked="false">
          <v:textbox inset="0,0,0,0">
            <w:txbxContent>
              <w:p>
                <w:pPr>
                  <w:spacing w:line="223" w:lineRule="exact" w:before="0"/>
                  <w:ind w:left="60" w:right="0" w:firstLine="0"/>
                  <w:jc w:val="left"/>
                  <w:rPr>
                    <w:rFonts w:ascii="Calibri"/>
                    <w:sz w:val="20"/>
                  </w:rPr>
                </w:pPr>
                <w:r>
                  <w:rPr/>
                  <w:fldChar w:fldCharType="begin"/>
                </w:r>
                <w:r>
                  <w:rPr>
                    <w:rFonts w:ascii="Calibri"/>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張雙洲</dc:creator>
  <dcterms:created xsi:type="dcterms:W3CDTF">2021-11-25T08:36:10Z</dcterms:created>
  <dcterms:modified xsi:type="dcterms:W3CDTF">2021-11-25T08:36:10Z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17 Word 版</vt:lpwstr>
  </property>
  <property fmtid="{D5CDD505-2E9C-101B-9397-08002B2CF9AE}" pid="4" name="LastSaved">
    <vt:filetime>2021-11-25T00:00:00Z</vt:filetime>
  </property>
</Properties>
</file>