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17600" w14:textId="7ED1EA73" w:rsidR="00566F28" w:rsidRPr="00334169" w:rsidRDefault="00566F28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34169">
        <w:rPr>
          <w:rFonts w:ascii="標楷體" w:eastAsia="標楷體" w:hAnsi="標楷體" w:hint="eastAsia"/>
          <w:b/>
          <w:sz w:val="32"/>
          <w:szCs w:val="32"/>
        </w:rPr>
        <w:t>隱私權保護</w:t>
      </w:r>
      <w:r w:rsidR="00334169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</w:p>
    <w:p w14:paraId="6ED8B8BC" w14:textId="77777777" w:rsidR="002451B5" w:rsidRPr="00334169" w:rsidRDefault="002451B5">
      <w:pPr>
        <w:rPr>
          <w:rFonts w:ascii="標楷體" w:eastAsia="標楷體" w:hAnsi="標楷體"/>
          <w:b/>
          <w:sz w:val="28"/>
          <w:szCs w:val="28"/>
        </w:rPr>
      </w:pPr>
      <w:r w:rsidRPr="00334169">
        <w:rPr>
          <w:rFonts w:ascii="標楷體" w:eastAsia="標楷體" w:hAnsi="標楷體" w:hint="eastAsia"/>
          <w:b/>
          <w:sz w:val="28"/>
          <w:szCs w:val="28"/>
        </w:rPr>
        <w:t>兆豐金融控股公司及其子公司客戶資料保密措施</w:t>
      </w:r>
    </w:p>
    <w:p w14:paraId="656C9685" w14:textId="77777777" w:rsidR="002451B5" w:rsidRPr="00334169" w:rsidRDefault="002451B5" w:rsidP="002451B5">
      <w:pPr>
        <w:rPr>
          <w:rFonts w:ascii="標楷體" w:eastAsia="標楷體" w:hAnsi="標楷體"/>
        </w:rPr>
      </w:pPr>
      <w:r w:rsidRPr="00334169">
        <w:rPr>
          <w:rFonts w:ascii="標楷體" w:eastAsia="標楷體" w:hAnsi="標楷體" w:hint="eastAsia"/>
        </w:rPr>
        <w:t>為維護客戶隱私權，</w:t>
      </w:r>
      <w:r w:rsidR="00566F28" w:rsidRPr="00334169">
        <w:rPr>
          <w:rFonts w:ascii="標楷體" w:eastAsia="標楷體" w:hAnsi="標楷體" w:hint="eastAsia"/>
        </w:rPr>
        <w:t>並</w:t>
      </w:r>
      <w:r w:rsidRPr="00334169">
        <w:rPr>
          <w:rFonts w:ascii="標楷體" w:eastAsia="標楷體" w:hAnsi="標楷體" w:hint="eastAsia"/>
        </w:rPr>
        <w:t>善盡客戶資料保密之職責，兆</w:t>
      </w:r>
      <w:proofErr w:type="gramStart"/>
      <w:r w:rsidRPr="00334169">
        <w:rPr>
          <w:rFonts w:ascii="標楷體" w:eastAsia="標楷體" w:hAnsi="標楷體" w:hint="eastAsia"/>
        </w:rPr>
        <w:t>豐金控</w:t>
      </w:r>
      <w:proofErr w:type="gramEnd"/>
      <w:r w:rsidRPr="00334169">
        <w:rPr>
          <w:rFonts w:ascii="標楷體" w:eastAsia="標楷體" w:hAnsi="標楷體" w:hint="eastAsia"/>
        </w:rPr>
        <w:t>及各子公司依「個人資料保護法」、「金融控股公司法」、「金融控股公司子公司間共同行銷管理辦法」相關規定，蒐集、處理及利用客戶資料，並訂定客戶資料保密措施如下：</w:t>
      </w:r>
    </w:p>
    <w:p w14:paraId="11D74CFA" w14:textId="77777777" w:rsidR="002451B5" w:rsidRPr="00334169" w:rsidRDefault="002451B5" w:rsidP="002451B5">
      <w:pPr>
        <w:rPr>
          <w:rFonts w:ascii="標楷體" w:eastAsia="標楷體" w:hAnsi="標楷體"/>
        </w:rPr>
      </w:pPr>
    </w:p>
    <w:p w14:paraId="0BB0D270" w14:textId="4A7E74A8" w:rsidR="002451B5" w:rsidRPr="00334169" w:rsidRDefault="002451B5" w:rsidP="00D97045">
      <w:pPr>
        <w:widowControl/>
        <w:shd w:val="clear" w:color="auto" w:fill="FFFFFF"/>
        <w:spacing w:afterLines="50" w:after="180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一、客戶資料之蒐集方式</w:t>
      </w:r>
      <w:r w:rsidR="00F56D72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及使用限制</w:t>
      </w:r>
    </w:p>
    <w:p w14:paraId="1985CE55" w14:textId="49977151" w:rsidR="002451B5" w:rsidRPr="00334169" w:rsidRDefault="002451B5" w:rsidP="00D97045">
      <w:pPr>
        <w:widowControl/>
        <w:shd w:val="clear" w:color="auto" w:fill="FFFFFF"/>
        <w:spacing w:after="100" w:afterAutospacing="1"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兆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豐金控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及各子公司</w:t>
      </w:r>
      <w:r w:rsidR="00957D4F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係在符合法令、與客戶簽訂之契約目的範圍內或經客戶明示同意等情況下，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取得來自於</w:t>
      </w:r>
      <w:proofErr w:type="gramStart"/>
      <w:r w:rsidR="00957D4F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與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兆豐金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控各子公司往來，或曾使用過服務，或參與過業務推廣活</w:t>
      </w:r>
      <w:r w:rsidR="006410E9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動之客戶資料，並僅於特定、明確及合法目的下處理個人資料</w:t>
      </w:r>
      <w:r w:rsidR="00B735C1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。</w:t>
      </w:r>
    </w:p>
    <w:p w14:paraId="3D495CD5" w14:textId="2A1774A8" w:rsidR="002451B5" w:rsidRPr="00334169" w:rsidRDefault="002451B5" w:rsidP="00D97045">
      <w:pPr>
        <w:widowControl/>
        <w:shd w:val="clear" w:color="auto" w:fill="FFFFFF"/>
        <w:spacing w:afterLines="50" w:after="180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二、客戶資料之儲存</w:t>
      </w:r>
      <w:r w:rsidR="00AE39A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、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保管方式</w:t>
      </w:r>
      <w:r w:rsidR="00AE39A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及保存年限</w:t>
      </w:r>
    </w:p>
    <w:p w14:paraId="427B3BEF" w14:textId="440FC4EC" w:rsidR="002451B5" w:rsidRPr="00334169" w:rsidRDefault="002451B5" w:rsidP="00D97045">
      <w:pPr>
        <w:widowControl/>
        <w:shd w:val="clear" w:color="auto" w:fill="FFFFFF"/>
        <w:spacing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兆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豐金控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及各子公司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取得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資料後，</w:t>
      </w:r>
      <w:proofErr w:type="gramStart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均依相</w:t>
      </w:r>
      <w:proofErr w:type="gramEnd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關作業規範建檔並儲存至資料庫，資料之存取受到嚴密的控管，工作人員須遵循安全機制獲得授權及密碼始得取用及維護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資料。紙本檔案均</w:t>
      </w:r>
      <w:proofErr w:type="gramStart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統一置櫃保管</w:t>
      </w:r>
      <w:proofErr w:type="gramEnd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，其使用、處理及銷毀，</w:t>
      </w:r>
      <w:proofErr w:type="gramStart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均設</w:t>
      </w:r>
      <w:proofErr w:type="gramEnd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簿登記並有專人管理、權責主管監督。</w:t>
      </w:r>
    </w:p>
    <w:p w14:paraId="18314EA4" w14:textId="10C99D3A" w:rsidR="00957D4F" w:rsidRPr="00334169" w:rsidRDefault="00957D4F" w:rsidP="00957D4F">
      <w:pPr>
        <w:widowControl/>
        <w:shd w:val="clear" w:color="auto" w:fill="FFFFFF"/>
        <w:spacing w:before="100" w:beforeAutospacing="1" w:after="100" w:afterAutospacing="1"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客戶資料之存續期間為依相關法令所定、或因執行業務所必須之保存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期間、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或依個別契約就資料之保存所定之保存年限。（以期限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最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長者為準）</w:t>
      </w:r>
      <w:r w:rsidR="00B735C1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。</w:t>
      </w:r>
    </w:p>
    <w:p w14:paraId="0CB71087" w14:textId="77777777" w:rsidR="002451B5" w:rsidRPr="00334169" w:rsidRDefault="002451B5" w:rsidP="00D97045">
      <w:pPr>
        <w:widowControl/>
        <w:shd w:val="clear" w:color="auto" w:fill="FFFFFF"/>
        <w:spacing w:afterLines="50" w:after="180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三、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資料分類、利用範圍及項目</w:t>
      </w:r>
    </w:p>
    <w:p w14:paraId="6601B035" w14:textId="77777777" w:rsidR="00550D34" w:rsidRPr="00334169" w:rsidRDefault="002451B5" w:rsidP="00D97045">
      <w:pPr>
        <w:widowControl/>
        <w:shd w:val="clear" w:color="auto" w:fill="FFFFFF"/>
        <w:spacing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兆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豐金控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及各子公司將就客戶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個人資料分類如下：</w:t>
      </w:r>
    </w:p>
    <w:p w14:paraId="69D1BEB0" w14:textId="03F48ABE" w:rsidR="00550D34" w:rsidRPr="00334169" w:rsidRDefault="002451B5" w:rsidP="00D97045">
      <w:pPr>
        <w:widowControl/>
        <w:shd w:val="clear" w:color="auto" w:fill="FFFFFF"/>
        <w:spacing w:line="384" w:lineRule="atLeast"/>
        <w:ind w:left="480" w:hangingChars="200" w:hanging="480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(</w:t>
      </w:r>
      <w:proofErr w:type="gramStart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一</w:t>
      </w:r>
      <w:proofErr w:type="gramEnd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)基本資料：包括姓名、出生年月日、身分證統一編號/護照號碼、電話及地址。</w:t>
      </w:r>
    </w:p>
    <w:p w14:paraId="2E8D532F" w14:textId="06984B63" w:rsidR="00550D34" w:rsidRPr="00334169" w:rsidRDefault="002451B5" w:rsidP="00D97045">
      <w:pPr>
        <w:widowControl/>
        <w:shd w:val="clear" w:color="auto" w:fill="FFFFFF"/>
        <w:spacing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(二)往來交易資料及其他相關資料包括以下各項資料：</w:t>
      </w:r>
    </w:p>
    <w:p w14:paraId="7EBD0577" w14:textId="0018A49C" w:rsidR="00550D34" w:rsidRPr="00334169" w:rsidRDefault="002451B5" w:rsidP="00D97045">
      <w:pPr>
        <w:pStyle w:val="af"/>
        <w:widowControl/>
        <w:numPr>
          <w:ilvl w:val="0"/>
          <w:numId w:val="4"/>
        </w:numPr>
        <w:shd w:val="clear" w:color="auto" w:fill="FFFFFF"/>
        <w:spacing w:line="360" w:lineRule="exact"/>
        <w:ind w:leftChars="0" w:left="635" w:hanging="397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帳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務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資料：包括帳戶號碼或類似功能號碼、信用卡帳號、存款帳號、交易帳戶號碼、存借款及其他往來交易資料及財務情況等資料。</w:t>
      </w:r>
    </w:p>
    <w:p w14:paraId="3487ACCD" w14:textId="4C6F96EA" w:rsidR="00550D34" w:rsidRPr="00334169" w:rsidRDefault="002451B5" w:rsidP="00D97045">
      <w:pPr>
        <w:pStyle w:val="af"/>
        <w:widowControl/>
        <w:numPr>
          <w:ilvl w:val="0"/>
          <w:numId w:val="4"/>
        </w:numPr>
        <w:shd w:val="clear" w:color="auto" w:fill="FFFFFF"/>
        <w:spacing w:line="360" w:lineRule="exact"/>
        <w:ind w:leftChars="0" w:left="635" w:hanging="397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信用資料：包含退票紀錄、註銷紀錄、拒絕往來紀錄及業務經營狀況等資料。</w:t>
      </w:r>
    </w:p>
    <w:p w14:paraId="53FD1701" w14:textId="6FFD6938" w:rsidR="00550D34" w:rsidRPr="00334169" w:rsidRDefault="002451B5" w:rsidP="00D97045">
      <w:pPr>
        <w:pStyle w:val="af"/>
        <w:widowControl/>
        <w:numPr>
          <w:ilvl w:val="0"/>
          <w:numId w:val="4"/>
        </w:numPr>
        <w:shd w:val="clear" w:color="auto" w:fill="FFFFFF"/>
        <w:spacing w:line="360" w:lineRule="exact"/>
        <w:ind w:leftChars="0" w:left="635" w:hanging="397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投資資料：包括投資或出售投資之標的、金額及時間等資料。</w:t>
      </w:r>
    </w:p>
    <w:p w14:paraId="2F6855BC" w14:textId="67BA8B7E" w:rsidR="00FD6CD0" w:rsidRPr="00334169" w:rsidRDefault="002451B5" w:rsidP="00D97045">
      <w:pPr>
        <w:pStyle w:val="af"/>
        <w:widowControl/>
        <w:numPr>
          <w:ilvl w:val="0"/>
          <w:numId w:val="4"/>
        </w:numPr>
        <w:shd w:val="clear" w:color="auto" w:fill="FFFFFF"/>
        <w:spacing w:line="360" w:lineRule="exact"/>
        <w:ind w:leftChars="0" w:left="635" w:hanging="397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保險資料：包括投保保險種類、年期、保額、繳費方式等相關資料。</w:t>
      </w:r>
    </w:p>
    <w:p w14:paraId="37D15AAF" w14:textId="4F8956B0" w:rsidR="00FD6CD0" w:rsidRPr="00334169" w:rsidRDefault="00FD6CD0" w:rsidP="00D97045">
      <w:pPr>
        <w:widowControl/>
        <w:shd w:val="clear" w:color="auto" w:fill="FFFFFF"/>
        <w:spacing w:before="100" w:beforeAutospacing="1" w:afterLines="50" w:after="180"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lastRenderedPageBreak/>
        <w:t>兆</w:t>
      </w:r>
      <w:proofErr w:type="gramStart"/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豐金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控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及各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子公司間進行共同行銷</w:t>
      </w:r>
      <w:r w:rsidR="001E2D28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或委託第三人處理相關業務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時，除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經客戶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書面同意或法令另有規定，於揭露、轉介或交互運用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資料時，將僅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限客戶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姓名及地址，不含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其他個人基本資料、往來交易資料及其他相關資料。</w:t>
      </w:r>
    </w:p>
    <w:p w14:paraId="7590C4D0" w14:textId="77777777" w:rsidR="002451B5" w:rsidRPr="00334169" w:rsidRDefault="002451B5" w:rsidP="00D97045">
      <w:pPr>
        <w:widowControl/>
        <w:shd w:val="clear" w:color="auto" w:fill="FFFFFF"/>
        <w:spacing w:afterLines="50" w:after="180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四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、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資料利用目的</w:t>
      </w:r>
    </w:p>
    <w:p w14:paraId="4DDB4637" w14:textId="77777777" w:rsidR="002451B5" w:rsidRPr="00334169" w:rsidRDefault="002451B5" w:rsidP="00D97045">
      <w:pPr>
        <w:widowControl/>
        <w:shd w:val="clear" w:color="auto" w:fill="FFFFFF"/>
        <w:spacing w:afterLines="50" w:after="180"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兆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豐金控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及各子公司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為提供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更完善的服務及更合適的產品選擇，或為推廣業務、或為委託第三人處理業務相關事務、或為風險管理、或遵照法令，均可能揭露、轉介或交互運用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資料。</w:t>
      </w:r>
    </w:p>
    <w:p w14:paraId="7021801F" w14:textId="77777777" w:rsidR="002451B5" w:rsidRPr="00334169" w:rsidRDefault="002451B5" w:rsidP="00D97045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五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、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資料揭露對象</w:t>
      </w:r>
    </w:p>
    <w:p w14:paraId="503D24CA" w14:textId="0D7488D4" w:rsidR="002451B5" w:rsidRPr="00334169" w:rsidRDefault="002451B5" w:rsidP="00D97045">
      <w:pPr>
        <w:widowControl/>
        <w:shd w:val="clear" w:color="auto" w:fill="FFFFFF"/>
        <w:spacing w:beforeLines="50" w:before="180" w:after="100" w:afterAutospacing="1"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在取得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同意下及法令許可的範圍內，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兆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豐金控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與其子公司及各子公司間相互揭露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資料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，或揭露客戶資料</w:t>
      </w:r>
      <w:r w:rsidR="00566F28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予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其他第三人及其他法定機關，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均需維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護客戶資料之機密性或限制其用途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。</w:t>
      </w:r>
    </w:p>
    <w:p w14:paraId="23AE4007" w14:textId="0BC5EDFA" w:rsidR="00957D4F" w:rsidRPr="00334169" w:rsidRDefault="00FD6CD0" w:rsidP="00D97045">
      <w:pPr>
        <w:widowControl/>
        <w:shd w:val="clear" w:color="auto" w:fill="FFFFFF"/>
        <w:spacing w:afterLines="50" w:after="180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六</w:t>
      </w:r>
      <w:r w:rsidR="002451B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、客戶資料</w:t>
      </w:r>
      <w:r w:rsidR="00957D4F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權益行使</w:t>
      </w:r>
    </w:p>
    <w:p w14:paraId="4277374F" w14:textId="1F82C122" w:rsidR="00957D4F" w:rsidRPr="00334169" w:rsidRDefault="00E252A2" w:rsidP="000061C8">
      <w:pPr>
        <w:widowControl/>
        <w:textAlignment w:val="baseline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客戶</w:t>
      </w:r>
      <w:proofErr w:type="gramStart"/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就兆豐金控</w:t>
      </w:r>
      <w:proofErr w:type="gramEnd"/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及各子公司所保有之個人資料，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可以書面、電話、親洽往來營業據點或</w:t>
      </w:r>
      <w:r w:rsidR="000061C8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網路作業等方式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向其等行使</w:t>
      </w:r>
      <w:r w:rsidR="00957D4F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下列權利：</w:t>
      </w:r>
    </w:p>
    <w:p w14:paraId="7DFF4889" w14:textId="5E8BDF69" w:rsidR="00957D4F" w:rsidRPr="00334169" w:rsidRDefault="00957D4F" w:rsidP="00D97045">
      <w:pPr>
        <w:pStyle w:val="af"/>
        <w:widowControl/>
        <w:numPr>
          <w:ilvl w:val="0"/>
          <w:numId w:val="5"/>
        </w:numPr>
        <w:ind w:leftChars="0"/>
        <w:textAlignment w:val="baseline"/>
        <w:rPr>
          <w:rFonts w:ascii="標楷體" w:eastAsia="標楷體" w:hAnsi="標楷體" w:cs="新細明體"/>
          <w:color w:val="565656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查詢、請求閱覽或請求製給複製本，</w:t>
      </w:r>
      <w:r w:rsidR="002F760F"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兆</w:t>
      </w:r>
      <w:proofErr w:type="gramStart"/>
      <w:r w:rsidR="002F760F"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豐金控</w:t>
      </w:r>
      <w:proofErr w:type="gramEnd"/>
      <w:r w:rsidR="002F760F"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及</w:t>
      </w:r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各子公司得依內部規定酌收必要成本費用。</w:t>
      </w:r>
    </w:p>
    <w:p w14:paraId="458EA6AE" w14:textId="391FBA0F" w:rsidR="00957D4F" w:rsidRPr="00334169" w:rsidRDefault="00957D4F" w:rsidP="00D97045">
      <w:pPr>
        <w:pStyle w:val="af"/>
        <w:widowControl/>
        <w:numPr>
          <w:ilvl w:val="0"/>
          <w:numId w:val="5"/>
        </w:numPr>
        <w:ind w:leftChars="0"/>
        <w:textAlignment w:val="baseline"/>
        <w:rPr>
          <w:rFonts w:ascii="標楷體" w:eastAsia="標楷體" w:hAnsi="標楷體" w:cs="新細明體"/>
          <w:color w:val="565656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請求補充或更正。</w:t>
      </w:r>
    </w:p>
    <w:p w14:paraId="36976621" w14:textId="7638091F" w:rsidR="00B735C1" w:rsidRPr="00334169" w:rsidRDefault="00957D4F" w:rsidP="00E53EBE">
      <w:pPr>
        <w:pStyle w:val="af"/>
        <w:widowControl/>
        <w:numPr>
          <w:ilvl w:val="0"/>
          <w:numId w:val="5"/>
        </w:numPr>
        <w:ind w:leftChars="0" w:left="482" w:hanging="482"/>
        <w:textAlignment w:val="baseline"/>
        <w:rPr>
          <w:rFonts w:ascii="標楷體" w:eastAsia="標楷體" w:hAnsi="標楷體" w:cs="新細明體"/>
          <w:color w:val="565656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請求停止蒐集、處理或利用及請求刪除，惟依法因執行業務所必須者或其他法令要求得拒絕之。</w:t>
      </w:r>
    </w:p>
    <w:p w14:paraId="5EC2D4C5" w14:textId="5A5C8453" w:rsidR="00E252A2" w:rsidRPr="00334169" w:rsidRDefault="00E252A2" w:rsidP="00E53EBE">
      <w:pPr>
        <w:pStyle w:val="af"/>
        <w:widowControl/>
        <w:numPr>
          <w:ilvl w:val="0"/>
          <w:numId w:val="5"/>
        </w:numPr>
        <w:ind w:leftChars="0"/>
        <w:textAlignment w:val="baseline"/>
        <w:rPr>
          <w:rFonts w:ascii="標楷體" w:eastAsia="標楷體" w:hAnsi="標楷體" w:cs="新細明體"/>
          <w:color w:val="565656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請求資料</w:t>
      </w:r>
      <w:proofErr w:type="gramStart"/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可攜權</w:t>
      </w:r>
      <w:proofErr w:type="gramEnd"/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。(</w:t>
      </w:r>
      <w:proofErr w:type="gramStart"/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此需在</w:t>
      </w:r>
      <w:proofErr w:type="gramEnd"/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技術可行之前提下，且個人資料當事人為歐盟境內之公民。)</w:t>
      </w:r>
    </w:p>
    <w:p w14:paraId="7AF309D4" w14:textId="2730562F" w:rsidR="00957D4F" w:rsidRPr="00334169" w:rsidRDefault="00957D4F" w:rsidP="00B735C1">
      <w:pPr>
        <w:widowControl/>
        <w:spacing w:before="100" w:beforeAutospacing="1"/>
        <w:textAlignment w:val="baseline"/>
        <w:rPr>
          <w:rFonts w:ascii="標楷體" w:eastAsia="標楷體" w:hAnsi="標楷體" w:cs="新細明體"/>
          <w:color w:val="565656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客戶行使前揭權利前，為保護個人資料之安全，</w:t>
      </w:r>
      <w:r w:rsidR="002F760F"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兆</w:t>
      </w:r>
      <w:proofErr w:type="gramStart"/>
      <w:r w:rsidR="002F760F"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豐金控</w:t>
      </w:r>
      <w:proofErr w:type="gramEnd"/>
      <w:r w:rsidR="002F760F"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及各</w:t>
      </w:r>
      <w:r w:rsidRPr="00334169">
        <w:rPr>
          <w:rFonts w:ascii="標楷體" w:eastAsia="標楷體" w:hAnsi="標楷體" w:cs="新細明體" w:hint="eastAsia"/>
          <w:color w:val="565656"/>
          <w:kern w:val="0"/>
          <w:szCs w:val="24"/>
        </w:rPr>
        <w:t>子公司將採取必要措施以確認客戶的身分。</w:t>
      </w:r>
    </w:p>
    <w:p w14:paraId="6096F0E1" w14:textId="77777777" w:rsidR="002451B5" w:rsidRPr="00334169" w:rsidRDefault="00FD6CD0" w:rsidP="00D97045">
      <w:pPr>
        <w:widowControl/>
        <w:shd w:val="clear" w:color="auto" w:fill="FFFFFF"/>
        <w:spacing w:before="100" w:beforeAutospacing="1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七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、</w:t>
      </w:r>
      <w:r w:rsidR="002451B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選擇退出</w:t>
      </w:r>
      <w:r w:rsidR="002451B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權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方式</w:t>
      </w:r>
    </w:p>
    <w:p w14:paraId="19A3D3F0" w14:textId="4229686A" w:rsidR="002451B5" w:rsidRPr="00334169" w:rsidRDefault="00566F28" w:rsidP="00D97045">
      <w:pPr>
        <w:widowControl/>
        <w:shd w:val="clear" w:color="auto" w:fill="FFFFFF"/>
        <w:spacing w:before="100" w:beforeAutospacing="1" w:line="384" w:lineRule="atLeast"/>
        <w:rPr>
          <w:rFonts w:ascii="標楷體" w:eastAsia="標楷體" w:hAnsi="標楷體" w:cs="新細明體"/>
          <w:color w:val="535353"/>
          <w:kern w:val="0"/>
          <w:szCs w:val="24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如</w:t>
      </w:r>
      <w:r w:rsidR="002451B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客戶</w:t>
      </w:r>
      <w:r w:rsidRPr="00334169">
        <w:rPr>
          <w:rFonts w:ascii="標楷體" w:eastAsia="標楷體" w:hAnsi="標楷體" w:cs="新細明體"/>
          <w:color w:val="535353"/>
          <w:kern w:val="0"/>
          <w:szCs w:val="24"/>
        </w:rPr>
        <w:t>不願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再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收到任何金融理財訊息及業務推廣活動內容，或不願再</w:t>
      </w:r>
      <w:r w:rsidR="002451B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將客戶資料運用於共同行銷</w:t>
      </w:r>
      <w:r w:rsidR="00B735C1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，或不願提供</w:t>
      </w:r>
      <w:proofErr w:type="gramStart"/>
      <w:r w:rsidR="00B735C1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與兆豐金控</w:t>
      </w:r>
      <w:proofErr w:type="gramEnd"/>
      <w:r w:rsidR="00B735C1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及各子公司所委託第三人</w:t>
      </w:r>
      <w:r w:rsidR="002451B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時，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可</w:t>
      </w: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隨時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以書面、電話或親洽</w:t>
      </w:r>
      <w:r w:rsidR="002451B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通知</w:t>
      </w:r>
      <w:r w:rsidR="002451B5" w:rsidRPr="00334169">
        <w:rPr>
          <w:rFonts w:ascii="標楷體" w:eastAsia="標楷體" w:hAnsi="標楷體" w:cs="新細明體"/>
          <w:color w:val="535353"/>
          <w:kern w:val="0"/>
          <w:szCs w:val="24"/>
        </w:rPr>
        <w:t>營業據點</w:t>
      </w:r>
      <w:r w:rsidR="002451B5"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。</w:t>
      </w:r>
    </w:p>
    <w:p w14:paraId="3821254A" w14:textId="2189CD11" w:rsidR="002451B5" w:rsidRPr="00334169" w:rsidRDefault="002451B5" w:rsidP="008D3211">
      <w:pPr>
        <w:widowControl/>
        <w:shd w:val="clear" w:color="auto" w:fill="FFFFFF"/>
        <w:spacing w:before="100" w:beforeAutospacing="1" w:after="100" w:afterAutospacing="1" w:line="384" w:lineRule="atLeast"/>
        <w:rPr>
          <w:rFonts w:ascii="標楷體" w:eastAsia="標楷體" w:hAnsi="標楷體"/>
        </w:rPr>
      </w:pPr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兆</w:t>
      </w:r>
      <w:proofErr w:type="gramStart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豐金控</w:t>
      </w:r>
      <w:proofErr w:type="gramEnd"/>
      <w:r w:rsidRPr="00334169">
        <w:rPr>
          <w:rFonts w:ascii="標楷體" w:eastAsia="標楷體" w:hAnsi="標楷體" w:cs="新細明體" w:hint="eastAsia"/>
          <w:color w:val="535353"/>
          <w:kern w:val="0"/>
          <w:szCs w:val="24"/>
        </w:rPr>
        <w:t>及各子公司將於接獲客戶通知停止使用其資料，在確認客戶身分後立即受理，並於系統及作業合理期間內停止該客戶相關之資料交互運用。</w:t>
      </w:r>
    </w:p>
    <w:sectPr w:rsidR="002451B5" w:rsidRPr="0033416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D7B95" w14:textId="77777777" w:rsidR="00BE5E75" w:rsidRDefault="00BE5E75" w:rsidP="00C3751D">
      <w:r>
        <w:separator/>
      </w:r>
    </w:p>
  </w:endnote>
  <w:endnote w:type="continuationSeparator" w:id="0">
    <w:p w14:paraId="73386A68" w14:textId="77777777" w:rsidR="00BE5E75" w:rsidRDefault="00BE5E75" w:rsidP="00C3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662301"/>
      <w:docPartObj>
        <w:docPartGallery w:val="Page Numbers (Bottom of Page)"/>
        <w:docPartUnique/>
      </w:docPartObj>
    </w:sdtPr>
    <w:sdtEndPr/>
    <w:sdtContent>
      <w:p w14:paraId="1C371E42" w14:textId="0F46989F" w:rsidR="0055249D" w:rsidRDefault="005524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EBE" w:rsidRPr="00E53EBE">
          <w:rPr>
            <w:noProof/>
            <w:lang w:val="zh-TW"/>
          </w:rPr>
          <w:t>2</w:t>
        </w:r>
        <w:r>
          <w:fldChar w:fldCharType="end"/>
        </w:r>
      </w:p>
    </w:sdtContent>
  </w:sdt>
  <w:p w14:paraId="7D4AE131" w14:textId="77777777" w:rsidR="0055249D" w:rsidRDefault="005524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1D3A8" w14:textId="77777777" w:rsidR="00BE5E75" w:rsidRDefault="00BE5E75" w:rsidP="00C3751D">
      <w:r>
        <w:separator/>
      </w:r>
    </w:p>
  </w:footnote>
  <w:footnote w:type="continuationSeparator" w:id="0">
    <w:p w14:paraId="7286C5FA" w14:textId="77777777" w:rsidR="00BE5E75" w:rsidRDefault="00BE5E75" w:rsidP="00C3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7A38"/>
    <w:multiLevelType w:val="hybridMultilevel"/>
    <w:tmpl w:val="35763CB0"/>
    <w:lvl w:ilvl="0" w:tplc="A48E6A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42182"/>
    <w:multiLevelType w:val="hybridMultilevel"/>
    <w:tmpl w:val="1FD24404"/>
    <w:lvl w:ilvl="0" w:tplc="6E34217E">
      <w:start w:val="1"/>
      <w:numFmt w:val="decimal"/>
      <w:suff w:val="noth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16A2632"/>
    <w:multiLevelType w:val="hybridMultilevel"/>
    <w:tmpl w:val="B240B128"/>
    <w:lvl w:ilvl="0" w:tplc="D8805128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5B3D85"/>
    <w:multiLevelType w:val="hybridMultilevel"/>
    <w:tmpl w:val="9662C8EA"/>
    <w:lvl w:ilvl="0" w:tplc="A48E6A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E1664"/>
    <w:multiLevelType w:val="hybridMultilevel"/>
    <w:tmpl w:val="54187F54"/>
    <w:lvl w:ilvl="0" w:tplc="A48E6A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156D65"/>
    <w:multiLevelType w:val="hybridMultilevel"/>
    <w:tmpl w:val="0D3AE046"/>
    <w:lvl w:ilvl="0" w:tplc="47469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21009A"/>
    <w:multiLevelType w:val="hybridMultilevel"/>
    <w:tmpl w:val="21DA0660"/>
    <w:lvl w:ilvl="0" w:tplc="A294A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B5"/>
    <w:rsid w:val="000061C8"/>
    <w:rsid w:val="00071D01"/>
    <w:rsid w:val="00073612"/>
    <w:rsid w:val="00081090"/>
    <w:rsid w:val="00134AE3"/>
    <w:rsid w:val="001379B6"/>
    <w:rsid w:val="00152048"/>
    <w:rsid w:val="001566F2"/>
    <w:rsid w:val="001A1033"/>
    <w:rsid w:val="001A69AD"/>
    <w:rsid w:val="001E2D28"/>
    <w:rsid w:val="002451B5"/>
    <w:rsid w:val="00274242"/>
    <w:rsid w:val="002F760F"/>
    <w:rsid w:val="00334169"/>
    <w:rsid w:val="003712A4"/>
    <w:rsid w:val="003A2850"/>
    <w:rsid w:val="003A29DE"/>
    <w:rsid w:val="00550D34"/>
    <w:rsid w:val="0055249D"/>
    <w:rsid w:val="00566F28"/>
    <w:rsid w:val="00586F84"/>
    <w:rsid w:val="005D1293"/>
    <w:rsid w:val="005E0CAB"/>
    <w:rsid w:val="006410E9"/>
    <w:rsid w:val="006C2726"/>
    <w:rsid w:val="006D29AF"/>
    <w:rsid w:val="0072342A"/>
    <w:rsid w:val="00760A18"/>
    <w:rsid w:val="0078250F"/>
    <w:rsid w:val="007C3EE9"/>
    <w:rsid w:val="0085264D"/>
    <w:rsid w:val="008D190B"/>
    <w:rsid w:val="008D3211"/>
    <w:rsid w:val="00957D4F"/>
    <w:rsid w:val="00990E42"/>
    <w:rsid w:val="009E6827"/>
    <w:rsid w:val="00AA4101"/>
    <w:rsid w:val="00AD339E"/>
    <w:rsid w:val="00AE39A5"/>
    <w:rsid w:val="00B208D7"/>
    <w:rsid w:val="00B735C1"/>
    <w:rsid w:val="00B93EC5"/>
    <w:rsid w:val="00BB13AF"/>
    <w:rsid w:val="00BC3AE9"/>
    <w:rsid w:val="00BE5E75"/>
    <w:rsid w:val="00C3751D"/>
    <w:rsid w:val="00D067B5"/>
    <w:rsid w:val="00D146DD"/>
    <w:rsid w:val="00D52F24"/>
    <w:rsid w:val="00D77836"/>
    <w:rsid w:val="00D97045"/>
    <w:rsid w:val="00DA2AB3"/>
    <w:rsid w:val="00DA5953"/>
    <w:rsid w:val="00DA65C0"/>
    <w:rsid w:val="00E0590E"/>
    <w:rsid w:val="00E252A2"/>
    <w:rsid w:val="00E53EBE"/>
    <w:rsid w:val="00E82010"/>
    <w:rsid w:val="00EA7478"/>
    <w:rsid w:val="00EB2015"/>
    <w:rsid w:val="00EC7FDD"/>
    <w:rsid w:val="00EE5CD3"/>
    <w:rsid w:val="00F02944"/>
    <w:rsid w:val="00F44498"/>
    <w:rsid w:val="00F45B88"/>
    <w:rsid w:val="00F45FBF"/>
    <w:rsid w:val="00F56D72"/>
    <w:rsid w:val="00FD6CD0"/>
    <w:rsid w:val="00F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FE7D6"/>
  <w15:chartTrackingRefBased/>
  <w15:docId w15:val="{7D42F3D0-BCD6-41A4-96FB-BFCE432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F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37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751D"/>
  </w:style>
  <w:style w:type="character" w:customStyle="1" w:styleId="a7">
    <w:name w:val="註解文字 字元"/>
    <w:basedOn w:val="a0"/>
    <w:link w:val="a6"/>
    <w:uiPriority w:val="99"/>
    <w:semiHidden/>
    <w:rsid w:val="00C37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C37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751D"/>
    <w:rPr>
      <w:b/>
      <w:bCs/>
    </w:rPr>
  </w:style>
  <w:style w:type="paragraph" w:styleId="aa">
    <w:name w:val="header"/>
    <w:basedOn w:val="a"/>
    <w:link w:val="ab"/>
    <w:uiPriority w:val="99"/>
    <w:unhideWhenUsed/>
    <w:rsid w:val="00760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60A1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60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60A18"/>
    <w:rPr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85264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57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0" w:color="DDD1B7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5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5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93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54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7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65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7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5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78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90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8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8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0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8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3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3124">
              <w:marLeft w:val="0"/>
              <w:marRight w:val="-75"/>
              <w:marTop w:val="0"/>
              <w:marBottom w:val="0"/>
              <w:divBdr>
                <w:top w:val="single" w:sz="6" w:space="23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9DEC-8811-4CF6-B478-94962DAF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陳麗如</dc:creator>
  <cp:keywords/>
  <dc:description/>
  <cp:lastModifiedBy>楊舒惠</cp:lastModifiedBy>
  <cp:revision>2</cp:revision>
  <cp:lastPrinted>2021-10-06T02:06:00Z</cp:lastPrinted>
  <dcterms:created xsi:type="dcterms:W3CDTF">2021-10-29T08:19:00Z</dcterms:created>
  <dcterms:modified xsi:type="dcterms:W3CDTF">2021-10-29T08:19:00Z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2021-09-24T08:17:01Z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4faa4db0-2711-4836-818b-8cd1f5529e02</vt:lpwstr>
  </property>
  <property fmtid="{D5CDD505-2E9C-101B-9397-08002B2CF9AE}" pid="8" name="MSIP_Label_ea60d57e-af5b-4752-ac57-3e4f28ca11dc_ContentBits">
    <vt:lpwstr>0</vt:lpwstr>
  </property>
</Properties>
</file>